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53" w:rsidRDefault="004F4853" w:rsidP="005C2920">
      <w:pPr>
        <w:autoSpaceDE w:val="0"/>
        <w:ind w:firstLine="709"/>
        <w:jc w:val="center"/>
      </w:pPr>
      <w:bookmarkStart w:id="0" w:name="_GoBack"/>
      <w:bookmarkEnd w:id="0"/>
    </w:p>
    <w:p w:rsidR="004F4853" w:rsidRDefault="004F4853" w:rsidP="005C2920">
      <w:pPr>
        <w:autoSpaceDE w:val="0"/>
        <w:ind w:firstLine="709"/>
        <w:jc w:val="center"/>
      </w:pPr>
    </w:p>
    <w:p w:rsidR="004F4853" w:rsidRDefault="004F4853" w:rsidP="005C2920">
      <w:pPr>
        <w:autoSpaceDE w:val="0"/>
        <w:ind w:firstLine="709"/>
        <w:jc w:val="center"/>
      </w:pPr>
    </w:p>
    <w:p w:rsidR="005C2920" w:rsidRPr="00B61FC4" w:rsidRDefault="005C2920" w:rsidP="005C2920">
      <w:pPr>
        <w:autoSpaceDE w:val="0"/>
        <w:ind w:firstLine="709"/>
        <w:jc w:val="center"/>
      </w:pPr>
      <w:r w:rsidRPr="00B61FC4">
        <w:t>Уважаемые предприниматели!</w:t>
      </w:r>
    </w:p>
    <w:p w:rsidR="00880C18" w:rsidRDefault="00880C18" w:rsidP="005C292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C2920" w:rsidRPr="00971D7A" w:rsidRDefault="005C2920" w:rsidP="00EC0117">
      <w:pPr>
        <w:autoSpaceDE w:val="0"/>
        <w:autoSpaceDN w:val="0"/>
        <w:adjustRightInd w:val="0"/>
        <w:ind w:firstLine="851"/>
        <w:jc w:val="both"/>
      </w:pPr>
      <w:r w:rsidRPr="00971D7A">
        <w:t xml:space="preserve">В соответствии с Законом Российской Федерации от 14 мая 1993 г. </w:t>
      </w:r>
      <w:r w:rsidRPr="00971D7A">
        <w:br/>
        <w:t xml:space="preserve">№ 4979-1 «О ветеринарии» (с изменениями), </w:t>
      </w:r>
      <w:hyperlink r:id="rId7" w:tgtFrame="_blank" w:history="1">
        <w:r w:rsidR="00971D7A" w:rsidRPr="00E25EF6">
          <w:rPr>
            <w:b/>
          </w:rPr>
          <w:t> п</w:t>
        </w:r>
        <w:r w:rsidR="00EC0117" w:rsidRPr="00E25EF6">
          <w:rPr>
            <w:b/>
          </w:rPr>
          <w:t>остановление</w:t>
        </w:r>
        <w:r w:rsidR="00971D7A" w:rsidRPr="00E25EF6">
          <w:rPr>
            <w:b/>
          </w:rPr>
          <w:t>м</w:t>
        </w:r>
        <w:r w:rsidR="00EC0117" w:rsidRPr="00E25EF6">
          <w:rPr>
            <w:b/>
          </w:rPr>
          <w:t xml:space="preserve"> Главы админис</w:t>
        </w:r>
        <w:r w:rsidR="00971D7A" w:rsidRPr="00E25EF6">
          <w:rPr>
            <w:b/>
          </w:rPr>
          <w:t xml:space="preserve">трации города Байконур от 07 октября </w:t>
        </w:r>
        <w:r w:rsidR="00EC0117" w:rsidRPr="00E25EF6">
          <w:rPr>
            <w:b/>
          </w:rPr>
          <w:t>2025</w:t>
        </w:r>
        <w:r w:rsidR="00971D7A" w:rsidRPr="00E25EF6">
          <w:rPr>
            <w:b/>
          </w:rPr>
          <w:t xml:space="preserve"> </w:t>
        </w:r>
        <w:r w:rsidR="00EC0117" w:rsidRPr="00E25EF6">
          <w:rPr>
            <w:b/>
          </w:rPr>
          <w:t>г. №</w:t>
        </w:r>
        <w:r w:rsidR="00971D7A" w:rsidRPr="00E25EF6">
          <w:rPr>
            <w:b/>
          </w:rPr>
          <w:t xml:space="preserve"> </w:t>
        </w:r>
        <w:r w:rsidR="00EC0117" w:rsidRPr="00E25EF6">
          <w:rPr>
            <w:b/>
          </w:rPr>
          <w:t>318 «Об утверждении Административного регламента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города Байконур»</w:t>
        </w:r>
      </w:hyperlink>
      <w:r w:rsidR="00EC0117" w:rsidRPr="00971D7A">
        <w:t xml:space="preserve"> </w:t>
      </w:r>
      <w:r w:rsidRPr="00971D7A">
        <w:t>сектор по осуществлению полномочий в области ветеринарии администрации города Байконур осуществляет государственную услугу «Регистрация специалистов в области ветеринарии, занимающихся предпринимательской деятельностью в области ветеринарии на территории города Байконур».</w:t>
      </w:r>
    </w:p>
    <w:p w:rsidR="00EC0117" w:rsidRPr="00971D7A" w:rsidRDefault="00EC0117" w:rsidP="00880C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7A">
        <w:rPr>
          <w:b/>
        </w:rPr>
        <w:t xml:space="preserve">Информацию по вопросам предоставления государственной услуги, сведения </w:t>
      </w:r>
      <w:r w:rsidRPr="00971D7A">
        <w:rPr>
          <w:b/>
        </w:rPr>
        <w:br/>
        <w:t>о ходе предоставления государственной услуги</w:t>
      </w:r>
      <w:r w:rsidRPr="000158D2">
        <w:t xml:space="preserve"> предоставляю</w:t>
      </w:r>
      <w:r>
        <w:t>тся С</w:t>
      </w:r>
      <w:r w:rsidRPr="000158D2">
        <w:t>ектором</w:t>
      </w:r>
      <w:r>
        <w:t xml:space="preserve"> ветеринарии</w:t>
      </w:r>
      <w:r w:rsidRPr="000158D2">
        <w:t xml:space="preserve"> при личном или письменном обращении заинтересованных лиц, включая обращение </w:t>
      </w:r>
      <w:r>
        <w:br/>
      </w:r>
      <w:r w:rsidRPr="000158D2">
        <w:t xml:space="preserve">по электронной почте по адресу электронной почты </w:t>
      </w:r>
      <w:bookmarkStart w:id="1" w:name="_Hlk207699551"/>
      <w:r w:rsidRPr="000158D2">
        <w:t>veterinaria@baikonuradm.ru</w:t>
      </w:r>
      <w:bookmarkEnd w:id="1"/>
      <w:r w:rsidRPr="000158D2">
        <w:t>,</w:t>
      </w:r>
      <w:r>
        <w:br/>
      </w:r>
      <w:r w:rsidRPr="000158D2">
        <w:t xml:space="preserve">с </w:t>
      </w:r>
      <w:r w:rsidRPr="00971D7A">
        <w:t xml:space="preserve">использованием средств телефонной связи,  на информационных стендах при входе </w:t>
      </w:r>
      <w:r w:rsidRPr="00971D7A">
        <w:br/>
        <w:t xml:space="preserve">в помещения </w:t>
      </w:r>
      <w:proofErr w:type="spellStart"/>
      <w:r w:rsidRPr="00971D7A">
        <w:t>Cектора</w:t>
      </w:r>
      <w:proofErr w:type="spellEnd"/>
      <w:r w:rsidRPr="00971D7A">
        <w:t xml:space="preserve"> ветеринарии, на Едином портале государственных и муниципальных услуг (функций) (</w:t>
      </w:r>
      <w:hyperlink r:id="rId8" w:history="1">
        <w:r w:rsidRPr="00971D7A">
          <w:rPr>
            <w:rStyle w:val="a3"/>
            <w:color w:val="auto"/>
            <w:u w:val="none"/>
            <w:lang w:val="en-US"/>
          </w:rPr>
          <w:t>www</w:t>
        </w:r>
        <w:r w:rsidRPr="00971D7A">
          <w:rPr>
            <w:rStyle w:val="a3"/>
            <w:color w:val="auto"/>
            <w:u w:val="none"/>
          </w:rPr>
          <w:t>.</w:t>
        </w:r>
        <w:r w:rsidRPr="00971D7A">
          <w:rPr>
            <w:rStyle w:val="a3"/>
            <w:color w:val="auto"/>
            <w:u w:val="none"/>
            <w:lang w:val="en-US"/>
          </w:rPr>
          <w:t>gosuslugi</w:t>
        </w:r>
        <w:r w:rsidRPr="00971D7A">
          <w:rPr>
            <w:rStyle w:val="a3"/>
            <w:color w:val="auto"/>
            <w:u w:val="none"/>
          </w:rPr>
          <w:t>.</w:t>
        </w:r>
        <w:r w:rsidRPr="00971D7A">
          <w:rPr>
            <w:rStyle w:val="a3"/>
            <w:color w:val="auto"/>
            <w:u w:val="none"/>
            <w:lang w:val="en-US"/>
          </w:rPr>
          <w:t>ru</w:t>
        </w:r>
      </w:hyperlink>
      <w:r w:rsidRPr="00971D7A">
        <w:rPr>
          <w:rStyle w:val="a3"/>
          <w:color w:val="auto"/>
          <w:u w:val="none"/>
        </w:rPr>
        <w:t xml:space="preserve">) (далее – Единый портал) и </w:t>
      </w:r>
      <w:r w:rsidRPr="00971D7A">
        <w:t xml:space="preserve">на официальном сайте Администрации </w:t>
      </w:r>
      <w:r w:rsidRPr="00971D7A">
        <w:rPr>
          <w:sz w:val="22"/>
        </w:rPr>
        <w:t xml:space="preserve"> (</w:t>
      </w:r>
      <w:hyperlink r:id="rId9" w:history="1">
        <w:r w:rsidRPr="00971D7A">
          <w:rPr>
            <w:rStyle w:val="a3"/>
            <w:color w:val="auto"/>
            <w:sz w:val="22"/>
            <w:u w:val="none"/>
            <w:lang w:val="en-US"/>
          </w:rPr>
          <w:t>https</w:t>
        </w:r>
        <w:r w:rsidRPr="00971D7A">
          <w:rPr>
            <w:rStyle w:val="a3"/>
            <w:color w:val="auto"/>
            <w:sz w:val="22"/>
            <w:u w:val="none"/>
          </w:rPr>
          <w:t>://</w:t>
        </w:r>
        <w:r w:rsidRPr="00971D7A">
          <w:rPr>
            <w:rStyle w:val="a3"/>
            <w:color w:val="auto"/>
            <w:sz w:val="22"/>
            <w:u w:val="none"/>
            <w:lang w:val="en-US"/>
          </w:rPr>
          <w:t>portal</w:t>
        </w:r>
        <w:r w:rsidRPr="00971D7A">
          <w:rPr>
            <w:rStyle w:val="a3"/>
            <w:color w:val="auto"/>
            <w:sz w:val="22"/>
            <w:u w:val="none"/>
          </w:rPr>
          <w:t>.</w:t>
        </w:r>
        <w:r w:rsidRPr="00971D7A">
          <w:rPr>
            <w:rStyle w:val="a3"/>
            <w:color w:val="auto"/>
            <w:sz w:val="22"/>
            <w:u w:val="none"/>
            <w:lang w:val="en-US"/>
          </w:rPr>
          <w:t>baikonuradm</w:t>
        </w:r>
        <w:r w:rsidRPr="00971D7A">
          <w:rPr>
            <w:rStyle w:val="a3"/>
            <w:color w:val="auto"/>
            <w:sz w:val="22"/>
            <w:u w:val="none"/>
          </w:rPr>
          <w:t>.</w:t>
        </w:r>
        <w:r w:rsidRPr="00971D7A">
          <w:rPr>
            <w:rStyle w:val="a3"/>
            <w:color w:val="auto"/>
            <w:sz w:val="22"/>
            <w:u w:val="none"/>
            <w:lang w:val="en-US"/>
          </w:rPr>
          <w:t>ru</w:t>
        </w:r>
      </w:hyperlink>
      <w:r w:rsidRPr="00971D7A">
        <w:rPr>
          <w:sz w:val="22"/>
        </w:rPr>
        <w:t xml:space="preserve">). 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/>
          <w:bCs/>
          <w:iCs/>
          <w:lang w:eastAsia="en-US"/>
        </w:rPr>
        <w:t xml:space="preserve">Для получения свидетельства </w:t>
      </w:r>
      <w:r w:rsidRPr="00EC0117">
        <w:rPr>
          <w:rFonts w:eastAsia="Calibri"/>
          <w:b/>
          <w:bCs/>
          <w:iCs/>
          <w:lang w:eastAsia="en-US"/>
        </w:rPr>
        <w:t xml:space="preserve">о регистрации одновременно с заявлением </w:t>
      </w:r>
      <w:r w:rsidRPr="00EC0117">
        <w:rPr>
          <w:rFonts w:eastAsia="Calibri"/>
          <w:b/>
          <w:bCs/>
          <w:iCs/>
          <w:lang w:eastAsia="en-US"/>
        </w:rPr>
        <w:br/>
        <w:t>о регистрации специалиста в области ветеринарии по форме</w:t>
      </w:r>
      <w:r w:rsidRPr="000158D2">
        <w:rPr>
          <w:rFonts w:eastAsia="Calibri"/>
          <w:bCs/>
          <w:iCs/>
          <w:lang w:eastAsia="en-US"/>
        </w:rPr>
        <w:t xml:space="preserve">, </w:t>
      </w:r>
      <w:r w:rsidRPr="00EC0117">
        <w:rPr>
          <w:rFonts w:eastAsia="Calibri"/>
          <w:b/>
          <w:bCs/>
          <w:iCs/>
          <w:lang w:eastAsia="en-US"/>
        </w:rPr>
        <w:t xml:space="preserve">согласно приложению </w:t>
      </w:r>
      <w:r w:rsidRPr="00EC0117">
        <w:rPr>
          <w:rFonts w:eastAsia="Calibri"/>
          <w:b/>
          <w:bCs/>
          <w:iCs/>
          <w:lang w:eastAsia="en-US"/>
        </w:rPr>
        <w:br/>
        <w:t>№ 8 к Административному регламенту</w:t>
      </w:r>
      <w:r w:rsidRPr="000158D2">
        <w:rPr>
          <w:rFonts w:eastAsia="Calibri"/>
          <w:bCs/>
          <w:iCs/>
          <w:lang w:eastAsia="en-US"/>
        </w:rPr>
        <w:t>, предоставляются следующие документы: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паспорт или иной документ, удостоверяющий личность заявителя;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документ о высшем или среднем ветеринарном образовании;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документ, подтверждающий изменение фамилии, имени, отчества заявителя в случае их отличия от указанных в документе об образовании;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паспорт или иной документ, удостоверяющий личность уполномоченного представителя заявителя (в случае обращения уполномоченного представителя);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 xml:space="preserve">документ, подтверждающий полномочия уполномоченного представителя заявителя </w:t>
      </w:r>
      <w:r w:rsidRPr="000158D2">
        <w:rPr>
          <w:rFonts w:eastAsia="Calibri"/>
          <w:bCs/>
          <w:iCs/>
          <w:lang w:eastAsia="en-US"/>
        </w:rPr>
        <w:br/>
        <w:t>(в случае обращения уполномоченного представителя).</w:t>
      </w:r>
    </w:p>
    <w:p w:rsidR="00EC0117" w:rsidRPr="00EC0117" w:rsidRDefault="00EC0117" w:rsidP="00EC0117">
      <w:pPr>
        <w:ind w:firstLine="709"/>
        <w:jc w:val="both"/>
        <w:rPr>
          <w:rFonts w:eastAsia="Calibri"/>
          <w:b/>
          <w:bCs/>
          <w:iCs/>
          <w:lang w:eastAsia="en-US"/>
        </w:rPr>
      </w:pPr>
      <w:r w:rsidRPr="00EC0117">
        <w:rPr>
          <w:rFonts w:eastAsia="Calibri"/>
          <w:b/>
          <w:bCs/>
          <w:iCs/>
          <w:lang w:eastAsia="en-US"/>
        </w:rPr>
        <w:t>Для переоформления свидетельства о регистрации</w:t>
      </w:r>
      <w:r w:rsidRPr="000158D2">
        <w:rPr>
          <w:rFonts w:eastAsia="Calibri"/>
          <w:bCs/>
          <w:iCs/>
          <w:lang w:eastAsia="en-US"/>
        </w:rPr>
        <w:t xml:space="preserve"> (в случаях изменения фамилии, имени, отчества, адреса места жительства, адреса (адресов) места осуществления предпринимательской деятельности специалиста в области ветеринарии) заявитель представляет заявление о переоформлении свидетельства о регистрации на имя заведующего </w:t>
      </w:r>
      <w:r>
        <w:rPr>
          <w:rFonts w:eastAsia="Calibri"/>
          <w:bCs/>
          <w:iCs/>
          <w:lang w:eastAsia="en-US"/>
        </w:rPr>
        <w:t>С</w:t>
      </w:r>
      <w:r w:rsidRPr="000158D2">
        <w:rPr>
          <w:rFonts w:eastAsia="Calibri"/>
          <w:bCs/>
          <w:iCs/>
          <w:lang w:eastAsia="en-US"/>
        </w:rPr>
        <w:t>ектором</w:t>
      </w:r>
      <w:r w:rsidRPr="002E77E7">
        <w:t xml:space="preserve"> </w:t>
      </w:r>
      <w:r w:rsidRPr="002E77E7">
        <w:rPr>
          <w:rFonts w:eastAsia="Calibri"/>
          <w:bCs/>
          <w:iCs/>
          <w:lang w:eastAsia="en-US"/>
        </w:rPr>
        <w:t>ветеринарии</w:t>
      </w:r>
      <w:r w:rsidRPr="000158D2">
        <w:rPr>
          <w:rFonts w:eastAsia="Calibri"/>
          <w:bCs/>
          <w:iCs/>
          <w:lang w:eastAsia="en-US"/>
        </w:rPr>
        <w:t xml:space="preserve"> </w:t>
      </w:r>
      <w:r w:rsidRPr="00EC0117">
        <w:rPr>
          <w:rFonts w:eastAsia="Calibri"/>
          <w:b/>
          <w:bCs/>
          <w:iCs/>
          <w:lang w:eastAsia="en-US"/>
        </w:rPr>
        <w:t xml:space="preserve">по форме, согласно приложению № 9 к Административному регламенту. 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Одновременно с заявлением представляются следующие документы: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паспорт или иной документ, удостоверяющий личность заявителя;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документ, подтверждающий изменение фамилии, имени, отчества заявителя (в случаях изменения фамилии, имени, отчества);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действующее свидетельство о регистрации;</w:t>
      </w:r>
    </w:p>
    <w:p w:rsidR="00EC0117" w:rsidRPr="00986EE3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>паспорт или иной документ, удостоверяющий личность уполномоченного представителя заявителя (в случае обращения уполномоченного представителя);</w:t>
      </w:r>
    </w:p>
    <w:p w:rsidR="00EC0117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 xml:space="preserve">документ, подтверждающий полномочия уполномоченного представителя заявителя </w:t>
      </w:r>
      <w:r>
        <w:rPr>
          <w:rFonts w:eastAsia="Calibri"/>
          <w:bCs/>
          <w:iCs/>
          <w:lang w:eastAsia="en-US"/>
        </w:rPr>
        <w:br/>
      </w:r>
      <w:r w:rsidRPr="00986EE3">
        <w:rPr>
          <w:rFonts w:eastAsia="Calibri"/>
          <w:bCs/>
          <w:iCs/>
          <w:lang w:eastAsia="en-US"/>
        </w:rPr>
        <w:t>(в случае обращения уполномоченного представителя).</w:t>
      </w:r>
    </w:p>
    <w:p w:rsidR="00EC0117" w:rsidRPr="00EC0117" w:rsidRDefault="00EC0117" w:rsidP="00EC0117">
      <w:pPr>
        <w:ind w:firstLine="709"/>
        <w:jc w:val="both"/>
        <w:rPr>
          <w:rFonts w:eastAsia="Calibri"/>
          <w:b/>
          <w:bCs/>
          <w:iCs/>
          <w:lang w:eastAsia="en-US"/>
        </w:rPr>
      </w:pPr>
      <w:r w:rsidRPr="00EC0117">
        <w:rPr>
          <w:rFonts w:eastAsia="Calibri"/>
          <w:b/>
          <w:bCs/>
          <w:iCs/>
          <w:lang w:eastAsia="en-US"/>
        </w:rPr>
        <w:t>Для получения дубликата свидетельства о регистрации</w:t>
      </w:r>
      <w:r w:rsidRPr="000158D2">
        <w:rPr>
          <w:rFonts w:eastAsia="Calibri"/>
          <w:bCs/>
          <w:iCs/>
          <w:lang w:eastAsia="en-US"/>
        </w:rPr>
        <w:t xml:space="preserve"> (в случаях утраченного свидетельства о регистрации, взамен пришедшего в негодность) заявитель представляет заявление на имя заведующего </w:t>
      </w:r>
      <w:r>
        <w:rPr>
          <w:rFonts w:eastAsia="Calibri"/>
          <w:bCs/>
          <w:iCs/>
          <w:lang w:val="en-US" w:eastAsia="en-US"/>
        </w:rPr>
        <w:t>C</w:t>
      </w:r>
      <w:proofErr w:type="spellStart"/>
      <w:r w:rsidRPr="000158D2">
        <w:rPr>
          <w:rFonts w:eastAsia="Calibri"/>
          <w:bCs/>
          <w:iCs/>
          <w:lang w:eastAsia="en-US"/>
        </w:rPr>
        <w:t>ектором</w:t>
      </w:r>
      <w:proofErr w:type="spellEnd"/>
      <w:r w:rsidRPr="002E77E7">
        <w:t xml:space="preserve"> </w:t>
      </w:r>
      <w:r w:rsidRPr="002E77E7">
        <w:rPr>
          <w:rFonts w:eastAsia="Calibri"/>
          <w:bCs/>
          <w:iCs/>
          <w:lang w:eastAsia="en-US"/>
        </w:rPr>
        <w:t>ветеринарии</w:t>
      </w:r>
      <w:r w:rsidRPr="000158D2">
        <w:rPr>
          <w:rFonts w:eastAsia="Calibri"/>
          <w:bCs/>
          <w:iCs/>
          <w:lang w:eastAsia="en-US"/>
        </w:rPr>
        <w:t xml:space="preserve"> </w:t>
      </w:r>
      <w:r w:rsidRPr="00EC0117">
        <w:rPr>
          <w:rFonts w:eastAsia="Calibri"/>
          <w:b/>
          <w:bCs/>
          <w:iCs/>
          <w:lang w:eastAsia="en-US"/>
        </w:rPr>
        <w:t>по форме, согласно приложению</w:t>
      </w:r>
      <w:r w:rsidRPr="00EC0117">
        <w:rPr>
          <w:rFonts w:eastAsia="Calibri"/>
          <w:b/>
          <w:bCs/>
          <w:iCs/>
          <w:lang w:eastAsia="en-US"/>
        </w:rPr>
        <w:br/>
        <w:t xml:space="preserve">№ 10 к Административному регламенту. 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Одновременно с заявлением представляются следующие документы: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паспорт или иной документ, удостоверяющий личность заявителя;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lastRenderedPageBreak/>
        <w:t>документ, подтверждающий изменение фамилии, имени, отчества заявителя (в случаях изменения фамилии, имени, отчества);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пришедшее в негодность действующее свидетельство о регистрации (если имеется);</w:t>
      </w:r>
    </w:p>
    <w:p w:rsidR="00EC0117" w:rsidRPr="00986EE3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>паспорт или иной документ, удостоверяющий личность уполномоченного представителя заявителя (в случае обращения уполномоченного представителя);</w:t>
      </w:r>
    </w:p>
    <w:p w:rsidR="00EC0117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>документ, подтверждающий полномочия уполномоч</w:t>
      </w:r>
      <w:r>
        <w:rPr>
          <w:rFonts w:eastAsia="Calibri"/>
          <w:bCs/>
          <w:iCs/>
          <w:lang w:eastAsia="en-US"/>
        </w:rPr>
        <w:t xml:space="preserve">енного представителя заявителя </w:t>
      </w:r>
      <w:r>
        <w:rPr>
          <w:rFonts w:eastAsia="Calibri"/>
          <w:bCs/>
          <w:iCs/>
          <w:lang w:eastAsia="en-US"/>
        </w:rPr>
        <w:br/>
      </w:r>
      <w:r w:rsidRPr="00986EE3">
        <w:rPr>
          <w:rFonts w:eastAsia="Calibri"/>
          <w:bCs/>
          <w:iCs/>
          <w:lang w:eastAsia="en-US"/>
        </w:rPr>
        <w:t>(в случае обращения уполномоченного представителя).</w:t>
      </w:r>
    </w:p>
    <w:p w:rsidR="00EC0117" w:rsidRPr="00EC0117" w:rsidRDefault="00EC0117" w:rsidP="00EC0117">
      <w:pPr>
        <w:ind w:firstLine="709"/>
        <w:jc w:val="both"/>
        <w:rPr>
          <w:rFonts w:eastAsia="Calibri"/>
          <w:b/>
          <w:bCs/>
          <w:iCs/>
          <w:lang w:eastAsia="en-US"/>
        </w:rPr>
      </w:pPr>
      <w:r w:rsidRPr="00EC0117">
        <w:rPr>
          <w:rFonts w:eastAsia="Calibri"/>
          <w:b/>
          <w:bCs/>
          <w:iCs/>
          <w:lang w:eastAsia="en-US"/>
        </w:rPr>
        <w:t>Для получения решения о прекращении действия свидетельства о регистрации</w:t>
      </w:r>
      <w:r w:rsidRPr="000158D2">
        <w:rPr>
          <w:rFonts w:eastAsia="Calibri"/>
          <w:bCs/>
          <w:iCs/>
          <w:lang w:eastAsia="en-US"/>
        </w:rPr>
        <w:t xml:space="preserve"> заявитель представляет </w:t>
      </w:r>
      <w:r w:rsidRPr="000A6AD6">
        <w:rPr>
          <w:rFonts w:eastAsia="Calibri"/>
          <w:bCs/>
          <w:iCs/>
          <w:lang w:eastAsia="en-US"/>
        </w:rPr>
        <w:t>заявление о прекращении действия свидетельства о регистрации</w:t>
      </w:r>
      <w:r w:rsidRPr="000A6AD6">
        <w:rPr>
          <w:rFonts w:eastAsia="Calibri"/>
          <w:bCs/>
          <w:iCs/>
          <w:lang w:eastAsia="en-US"/>
        </w:rPr>
        <w:br/>
      </w:r>
      <w:r w:rsidRPr="00EC0117">
        <w:rPr>
          <w:rFonts w:eastAsia="Calibri"/>
          <w:b/>
          <w:bCs/>
          <w:iCs/>
          <w:lang w:eastAsia="en-US"/>
        </w:rPr>
        <w:t>по форме согласно приложению № 11 к Административному регламенту.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Одновременно с заявлением представляются следующие документы:</w:t>
      </w:r>
    </w:p>
    <w:p w:rsidR="00EC0117" w:rsidRPr="000158D2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0158D2">
        <w:rPr>
          <w:rFonts w:eastAsia="Calibri"/>
          <w:bCs/>
          <w:iCs/>
          <w:lang w:eastAsia="en-US"/>
        </w:rPr>
        <w:t>паспорт или иной документ, удостоверяющий личность заявителя;</w:t>
      </w:r>
    </w:p>
    <w:p w:rsidR="00EC0117" w:rsidRPr="00986EE3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>паспорт или иной документ, удостоверяющий личность уполномоченного представителя заявителя (в случае обращения уполномоченного представителя);</w:t>
      </w:r>
    </w:p>
    <w:p w:rsidR="00EC0117" w:rsidRDefault="00EC0117" w:rsidP="00EC0117">
      <w:pPr>
        <w:ind w:firstLine="709"/>
        <w:jc w:val="both"/>
        <w:rPr>
          <w:rFonts w:eastAsia="Calibri"/>
          <w:bCs/>
          <w:iCs/>
          <w:lang w:eastAsia="en-US"/>
        </w:rPr>
      </w:pPr>
      <w:r w:rsidRPr="00986EE3">
        <w:rPr>
          <w:rFonts w:eastAsia="Calibri"/>
          <w:bCs/>
          <w:iCs/>
          <w:lang w:eastAsia="en-US"/>
        </w:rPr>
        <w:t>документ, подтверждающий полномочия уполномоч</w:t>
      </w:r>
      <w:r>
        <w:rPr>
          <w:rFonts w:eastAsia="Calibri"/>
          <w:bCs/>
          <w:iCs/>
          <w:lang w:eastAsia="en-US"/>
        </w:rPr>
        <w:t xml:space="preserve">енного представителя заявителя </w:t>
      </w:r>
      <w:r>
        <w:rPr>
          <w:rFonts w:eastAsia="Calibri"/>
          <w:bCs/>
          <w:iCs/>
          <w:lang w:eastAsia="en-US"/>
        </w:rPr>
        <w:br/>
      </w:r>
      <w:r w:rsidRPr="00986EE3">
        <w:rPr>
          <w:rFonts w:eastAsia="Calibri"/>
          <w:bCs/>
          <w:iCs/>
          <w:lang w:eastAsia="en-US"/>
        </w:rPr>
        <w:t>(в случае обращения уполномоченного представителя).</w:t>
      </w:r>
    </w:p>
    <w:p w:rsidR="00971D7A" w:rsidRPr="00971D7A" w:rsidRDefault="00971D7A" w:rsidP="00971D7A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Cs/>
          <w:iCs/>
          <w:lang w:eastAsia="en-US"/>
        </w:rPr>
        <w:t>Место нахождения сектора: имени космонавта Титова Г.С. ул., дом 13,</w:t>
      </w:r>
      <w:r w:rsidRPr="00971D7A">
        <w:rPr>
          <w:rFonts w:eastAsia="Calibri"/>
          <w:bCs/>
          <w:iCs/>
          <w:lang w:eastAsia="en-US"/>
        </w:rPr>
        <w:br/>
        <w:t xml:space="preserve"> г. Байконур, 4-й этаж, </w:t>
      </w:r>
      <w:proofErr w:type="spellStart"/>
      <w:r w:rsidRPr="00971D7A">
        <w:rPr>
          <w:rFonts w:eastAsia="Calibri"/>
          <w:bCs/>
          <w:iCs/>
          <w:lang w:eastAsia="en-US"/>
        </w:rPr>
        <w:t>каб</w:t>
      </w:r>
      <w:proofErr w:type="spellEnd"/>
      <w:r w:rsidRPr="00971D7A">
        <w:rPr>
          <w:rFonts w:eastAsia="Calibri"/>
          <w:bCs/>
          <w:iCs/>
          <w:lang w:eastAsia="en-US"/>
        </w:rPr>
        <w:t>. № 433.</w:t>
      </w:r>
    </w:p>
    <w:p w:rsidR="00971D7A" w:rsidRPr="00971D7A" w:rsidRDefault="00971D7A" w:rsidP="00971D7A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Cs/>
          <w:iCs/>
          <w:lang w:eastAsia="en-US"/>
        </w:rPr>
        <w:t>Почтовый адрес сектора: 468325, г. Байконур, имени космонавта</w:t>
      </w:r>
      <w:r w:rsidRPr="00971D7A">
        <w:rPr>
          <w:rFonts w:eastAsia="Calibri"/>
          <w:bCs/>
          <w:iCs/>
          <w:lang w:eastAsia="en-US"/>
        </w:rPr>
        <w:br/>
        <w:t>Титова Г.С. ул., дом 13.</w:t>
      </w:r>
    </w:p>
    <w:p w:rsidR="00971D7A" w:rsidRPr="00971D7A" w:rsidRDefault="00971D7A" w:rsidP="00971D7A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Cs/>
          <w:iCs/>
          <w:lang w:eastAsia="en-US"/>
        </w:rPr>
        <w:t>Справочные телефоны: 8 (33622) 7-55-13, 4-05-63.</w:t>
      </w:r>
    </w:p>
    <w:p w:rsidR="00971D7A" w:rsidRPr="00971D7A" w:rsidRDefault="00971D7A" w:rsidP="00971D7A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Cs/>
          <w:iCs/>
          <w:lang w:eastAsia="en-US"/>
        </w:rPr>
        <w:t xml:space="preserve">График (режим) работы сектора: 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957"/>
        <w:gridCol w:w="4786"/>
      </w:tblGrid>
      <w:tr w:rsidR="00971D7A" w:rsidRPr="00971D7A" w:rsidTr="006F1737">
        <w:trPr>
          <w:trHeight w:val="34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357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Вторник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297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Среда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Четверг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24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Пятница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Суббота, воскресенье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выходные дни.</w:t>
            </w:r>
          </w:p>
        </w:tc>
      </w:tr>
    </w:tbl>
    <w:p w:rsidR="00971D7A" w:rsidRPr="00971D7A" w:rsidRDefault="00971D7A" w:rsidP="00971D7A">
      <w:pPr>
        <w:ind w:firstLine="709"/>
        <w:jc w:val="both"/>
        <w:rPr>
          <w:rFonts w:eastAsia="Calibri"/>
          <w:bCs/>
          <w:iCs/>
          <w:lang w:eastAsia="en-US"/>
        </w:rPr>
      </w:pPr>
      <w:r w:rsidRPr="00971D7A">
        <w:rPr>
          <w:rFonts w:eastAsia="Calibri"/>
          <w:bCs/>
          <w:iCs/>
          <w:lang w:eastAsia="en-US"/>
        </w:rPr>
        <w:t>График приема заявителей: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957"/>
        <w:gridCol w:w="4786"/>
      </w:tblGrid>
      <w:tr w:rsidR="00971D7A" w:rsidRPr="00971D7A" w:rsidTr="006F1737">
        <w:trPr>
          <w:trHeight w:val="34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(не приемный день)</w:t>
            </w:r>
          </w:p>
        </w:tc>
      </w:tr>
      <w:tr w:rsidR="00971D7A" w:rsidRPr="00971D7A" w:rsidTr="006F1737">
        <w:trPr>
          <w:trHeight w:val="357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Вторник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297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Среда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Четверг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24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Пятница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 xml:space="preserve">09.00 – </w:t>
            </w:r>
            <w:proofErr w:type="gramStart"/>
            <w:r w:rsidRPr="00971D7A">
              <w:rPr>
                <w:rFonts w:eastAsia="Calibri"/>
                <w:bCs/>
                <w:iCs/>
                <w:lang w:eastAsia="en-US"/>
              </w:rPr>
              <w:t>13.00  и</w:t>
            </w:r>
            <w:proofErr w:type="gramEnd"/>
            <w:r w:rsidRPr="00971D7A">
              <w:rPr>
                <w:rFonts w:eastAsia="Calibri"/>
                <w:bCs/>
                <w:iCs/>
                <w:lang w:eastAsia="en-US"/>
              </w:rPr>
              <w:t xml:space="preserve">  14.00 – 18.00</w:t>
            </w:r>
          </w:p>
        </w:tc>
      </w:tr>
      <w:tr w:rsidR="00971D7A" w:rsidRPr="00971D7A" w:rsidTr="006F1737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Суббота, воскресенье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71D7A" w:rsidRPr="00971D7A" w:rsidRDefault="00971D7A" w:rsidP="00971D7A">
            <w:pPr>
              <w:ind w:firstLine="709"/>
              <w:jc w:val="both"/>
              <w:rPr>
                <w:rFonts w:eastAsia="Calibri"/>
                <w:bCs/>
                <w:iCs/>
                <w:lang w:eastAsia="en-US"/>
              </w:rPr>
            </w:pPr>
            <w:r w:rsidRPr="00971D7A">
              <w:rPr>
                <w:rFonts w:eastAsia="Calibri"/>
                <w:bCs/>
                <w:iCs/>
                <w:lang w:eastAsia="en-US"/>
              </w:rPr>
              <w:t>выходные дни.</w:t>
            </w:r>
          </w:p>
        </w:tc>
      </w:tr>
    </w:tbl>
    <w:p w:rsidR="00EC0117" w:rsidRDefault="00EC0117" w:rsidP="00880C18">
      <w:pPr>
        <w:ind w:firstLine="709"/>
        <w:jc w:val="both"/>
        <w:rPr>
          <w:sz w:val="28"/>
          <w:szCs w:val="28"/>
        </w:rPr>
      </w:pPr>
    </w:p>
    <w:p w:rsidR="00971D7A" w:rsidRDefault="00971D7A" w:rsidP="00880C18">
      <w:pPr>
        <w:ind w:firstLine="709"/>
        <w:jc w:val="both"/>
        <w:rPr>
          <w:sz w:val="28"/>
          <w:szCs w:val="28"/>
        </w:rPr>
      </w:pPr>
    </w:p>
    <w:p w:rsidR="00971D7A" w:rsidRPr="004C629C" w:rsidRDefault="00971D7A" w:rsidP="00880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_______________</w:t>
      </w:r>
    </w:p>
    <w:sectPr w:rsidR="00971D7A" w:rsidRPr="004C629C" w:rsidSect="00971D7A">
      <w:headerReference w:type="default" r:id="rId10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96" w:rsidRDefault="00695496" w:rsidP="00971D7A">
      <w:r>
        <w:separator/>
      </w:r>
    </w:p>
  </w:endnote>
  <w:endnote w:type="continuationSeparator" w:id="0">
    <w:p w:rsidR="00695496" w:rsidRDefault="00695496" w:rsidP="0097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96" w:rsidRDefault="00695496" w:rsidP="00971D7A">
      <w:r>
        <w:separator/>
      </w:r>
    </w:p>
  </w:footnote>
  <w:footnote w:type="continuationSeparator" w:id="0">
    <w:p w:rsidR="00695496" w:rsidRDefault="00695496" w:rsidP="0097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435430"/>
      <w:docPartObj>
        <w:docPartGallery w:val="Page Numbers (Top of Page)"/>
        <w:docPartUnique/>
      </w:docPartObj>
    </w:sdtPr>
    <w:sdtEndPr/>
    <w:sdtContent>
      <w:p w:rsidR="00971D7A" w:rsidRDefault="00971D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E4">
          <w:rPr>
            <w:noProof/>
          </w:rPr>
          <w:t>2</w:t>
        </w:r>
        <w:r>
          <w:fldChar w:fldCharType="end"/>
        </w:r>
      </w:p>
    </w:sdtContent>
  </w:sdt>
  <w:p w:rsidR="00971D7A" w:rsidRDefault="00971D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44" w:hanging="360"/>
      </w:pPr>
      <w:rPr>
        <w:i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59"/>
    <w:rsid w:val="0004506E"/>
    <w:rsid w:val="004C629C"/>
    <w:rsid w:val="004F4853"/>
    <w:rsid w:val="005C2920"/>
    <w:rsid w:val="00695496"/>
    <w:rsid w:val="00880C18"/>
    <w:rsid w:val="00971D7A"/>
    <w:rsid w:val="00A5043F"/>
    <w:rsid w:val="00B61FC4"/>
    <w:rsid w:val="00D679E4"/>
    <w:rsid w:val="00DA4C59"/>
    <w:rsid w:val="00E25EF6"/>
    <w:rsid w:val="00E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888E-97DF-434C-95F3-70C7F6B4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Рег. Основной нумерованный 1. текст"/>
    <w:basedOn w:val="a"/>
    <w:rsid w:val="005C2920"/>
    <w:pPr>
      <w:numPr>
        <w:numId w:val="1"/>
      </w:numPr>
      <w:autoSpaceDE w:val="0"/>
      <w:jc w:val="both"/>
    </w:pPr>
    <w:rPr>
      <w:sz w:val="28"/>
      <w:szCs w:val="28"/>
    </w:rPr>
  </w:style>
  <w:style w:type="character" w:styleId="a3">
    <w:name w:val="Hyperlink"/>
    <w:uiPriority w:val="99"/>
    <w:rsid w:val="005C29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29C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71D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1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baikonuradm.ru/index.php?mod=npb1&amp;npbid=73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С.А.</dc:creator>
  <cp:keywords/>
  <dc:description/>
  <cp:lastModifiedBy>Болотская Д.В.</cp:lastModifiedBy>
  <cp:revision>2</cp:revision>
  <dcterms:created xsi:type="dcterms:W3CDTF">2025-12-29T06:09:00Z</dcterms:created>
  <dcterms:modified xsi:type="dcterms:W3CDTF">2025-12-29T06:09:00Z</dcterms:modified>
</cp:coreProperties>
</file>