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4B" w:rsidRDefault="00D2628C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.2pt;margin-top:-48.9pt;width:449.9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">
            <v:textbox style="mso-fit-shape-to-text:t">
              <w:txbxContent>
                <w:p w:rsidR="006D7CA2" w:rsidRPr="006D7CA2" w:rsidRDefault="006D7CA2" w:rsidP="006D7CA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6D7CA2">
                    <w:rPr>
                      <w:rFonts w:ascii="Times New Roman" w:hAnsi="Times New Roman" w:cs="Times New Roman"/>
                      <w:b/>
                      <w:sz w:val="28"/>
                    </w:rPr>
                    <w:t>Наиболее частая тематика обращений граждан:</w:t>
                  </w:r>
                </w:p>
              </w:txbxContent>
            </v:textbox>
          </v:shape>
        </w:pict>
      </w:r>
      <w:bookmarkStart w:id="0" w:name="_GoBack"/>
      <w:r w:rsidR="00C858A1">
        <w:rPr>
          <w:noProof/>
          <w:lang w:eastAsia="ru-RU"/>
        </w:rPr>
        <w:drawing>
          <wp:inline distT="0" distB="0" distL="0" distR="0">
            <wp:extent cx="5709037" cy="4245996"/>
            <wp:effectExtent l="0" t="0" r="25400" b="2159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C858A1" w:rsidRPr="00C858A1" w:rsidRDefault="00C858A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3171" cy="4703674"/>
            <wp:effectExtent l="0" t="0" r="20955" b="2095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C858A1" w:rsidRPr="00C858A1" w:rsidSect="00D26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04B46"/>
    <w:rsid w:val="00004B46"/>
    <w:rsid w:val="0002744F"/>
    <w:rsid w:val="003D58B8"/>
    <w:rsid w:val="0069644B"/>
    <w:rsid w:val="006D7CA2"/>
    <w:rsid w:val="00A05132"/>
    <w:rsid w:val="00C858A1"/>
    <w:rsid w:val="00D2628C"/>
    <w:rsid w:val="00EE55BC"/>
    <w:rsid w:val="00F80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1140678267813098"/>
          <c:y val="0.24555527844087366"/>
          <c:w val="0.82609552558465349"/>
          <c:h val="0.731484055612271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dLbls>
            <c:dLbl>
              <c:idx val="0"/>
              <c:layout>
                <c:manualLayout>
                  <c:x val="-3.2523619545082767E-2"/>
                  <c:y val="8.6812705800478132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5237790011886571"/>
                  <c:y val="-0.16346207839956844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1.1538250824279546E-2"/>
                  <c:y val="-0.12223064014132287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1.1114668193897925E-2"/>
                  <c:y val="-7.376367822355929E-3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4.2065111716430341E-2"/>
                  <c:y val="-2.5636363208113799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9.0518943912957658E-2"/>
                  <c:y val="-5.5823180238511752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-0.20675150642744131"/>
                  <c:y val="-8.3472052258174528E-2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6.0787835146277752E-3"/>
                  <c:y val="-7.4122538033479082E-2"/>
                </c:manualLayout>
              </c:layout>
              <c:showCatName val="1"/>
              <c:showPercent val="1"/>
            </c:dLbl>
            <c:dLbl>
              <c:idx val="8"/>
              <c:layout>
                <c:manualLayout>
                  <c:x val="6.4862427761459604E-2"/>
                  <c:y val="-0.11278931963195446"/>
                </c:manualLayout>
              </c:layout>
              <c:showCatName val="1"/>
              <c:showPercent val="1"/>
            </c:dLbl>
            <c:dLbl>
              <c:idx val="9"/>
              <c:layout>
                <c:manualLayout>
                  <c:x val="0.18410513016468463"/>
                  <c:y val="-8.5594522463045233E-2"/>
                </c:manualLayout>
              </c:layout>
              <c:showCatName val="1"/>
              <c:showPercent val="1"/>
            </c:dLbl>
            <c:spPr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>
                <a:solidFill>
                  <a:schemeClr val="tx1"/>
                </a:solidFill>
              </a:ln>
            </c:spPr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Лист1!$A$2:$A$11</c:f>
              <c:strCache>
                <c:ptCount val="10"/>
                <c:pt idx="0">
                  <c:v>комунальное хозяйство, ремонт жил. фонда</c:v>
                </c:pt>
                <c:pt idx="1">
                  <c:v>услуги в сфере почтовой связи</c:v>
                </c:pt>
                <c:pt idx="2">
                  <c:v>сфера соц. услуг</c:v>
                </c:pt>
                <c:pt idx="3">
                  <c:v>предоставление земельных участков</c:v>
                </c:pt>
                <c:pt idx="4">
                  <c:v>трудоустройство</c:v>
                </c:pt>
                <c:pt idx="5">
                  <c:v>прописка, въезд в город</c:v>
                </c:pt>
                <c:pt idx="6">
                  <c:v>получение архивных сведений, справочная информация</c:v>
                </c:pt>
                <c:pt idx="7">
                  <c:v>предпринимательская деятельность, сфера торговли</c:v>
                </c:pt>
                <c:pt idx="8">
                  <c:v>отселение</c:v>
                </c:pt>
                <c:pt idx="9">
                  <c:v>медицинское обслуживание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798</c:v>
                </c:pt>
                <c:pt idx="1">
                  <c:v>400</c:v>
                </c:pt>
                <c:pt idx="2">
                  <c:v>169</c:v>
                </c:pt>
                <c:pt idx="3">
                  <c:v>123</c:v>
                </c:pt>
                <c:pt idx="4">
                  <c:v>109</c:v>
                </c:pt>
                <c:pt idx="5">
                  <c:v>105</c:v>
                </c:pt>
                <c:pt idx="6">
                  <c:v>89</c:v>
                </c:pt>
                <c:pt idx="7">
                  <c:v>46</c:v>
                </c:pt>
                <c:pt idx="8">
                  <c:v>17</c:v>
                </c:pt>
                <c:pt idx="9">
                  <c:v>15</c:v>
                </c:pt>
              </c:numCache>
            </c:numRef>
          </c:val>
        </c:ser>
        <c:dLbls/>
      </c:pie3DChart>
    </c:plotArea>
    <c:plotVisOnly val="1"/>
    <c:dispBlanksAs val="zero"/>
  </c:chart>
  <c:spPr>
    <a:noFill/>
    <a:ln w="0"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>
        <c:manualLayout>
          <c:xMode val="edge"/>
          <c:yMode val="edge"/>
          <c:x val="0.43891955858755161"/>
          <c:y val="1.3500742540839748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dLbls>
            <c:dLbl>
              <c:idx val="0"/>
              <c:layout>
                <c:manualLayout>
                  <c:x val="-3.7569766422184812E-2"/>
                  <c:y val="7.3406022611260904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3882726631479178"/>
                  <c:y val="-0.16044638036815043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2.9547540154320252E-2"/>
                  <c:y val="-9.0469482169381304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2.5393074173455175E-2"/>
                  <c:y val="2.5086503717638247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7.2830671792808499E-2"/>
                  <c:y val="-1.1136316239716381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8.810925555395771E-2"/>
                  <c:y val="-3.717170083545783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-0.19400820138317548"/>
                  <c:y val="-7.3034035435668054E-2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4.1533449511712776E-2"/>
                  <c:y val="-6.1804725039474637E-2"/>
                </c:manualLayout>
              </c:layout>
              <c:showCatName val="1"/>
              <c:showPercent val="1"/>
            </c:dLbl>
            <c:dLbl>
              <c:idx val="8"/>
              <c:layout>
                <c:manualLayout>
                  <c:x val="0.11040898841608489"/>
                  <c:y val="-0.10326628674545994"/>
                </c:manualLayout>
              </c:layout>
              <c:showCatName val="1"/>
              <c:showPercent val="1"/>
            </c:dLbl>
            <c:dLbl>
              <c:idx val="9"/>
              <c:layout>
                <c:manualLayout>
                  <c:x val="0.21963441470076298"/>
                  <c:y val="-8.0929601082732894E-2"/>
                </c:manualLayout>
              </c:layout>
              <c:showCatName val="1"/>
              <c:showPercent val="1"/>
            </c:dLbl>
            <c:spPr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>
                <a:solidFill>
                  <a:schemeClr val="tx1">
                    <a:tint val="75000"/>
                    <a:shade val="95000"/>
                    <a:satMod val="105000"/>
                  </a:schemeClr>
                </a:solidFill>
              </a:ln>
            </c:spPr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Лист1!$A$2:$A$11</c:f>
              <c:strCache>
                <c:ptCount val="10"/>
                <c:pt idx="0">
                  <c:v>комунальное хозяйство, ремонт жил. фонда</c:v>
                </c:pt>
                <c:pt idx="1">
                  <c:v>услуги в сфере почтовой связи</c:v>
                </c:pt>
                <c:pt idx="2">
                  <c:v>сфера соц. услуг</c:v>
                </c:pt>
                <c:pt idx="3">
                  <c:v>предоставление земельных участков</c:v>
                </c:pt>
                <c:pt idx="4">
                  <c:v>трудоустройство</c:v>
                </c:pt>
                <c:pt idx="5">
                  <c:v>прописка, въезд в город</c:v>
                </c:pt>
                <c:pt idx="6">
                  <c:v>получение архивных сведений, справочная информация</c:v>
                </c:pt>
                <c:pt idx="7">
                  <c:v>предпринимательская деятельность, сфера торговли</c:v>
                </c:pt>
                <c:pt idx="8">
                  <c:v>отселение</c:v>
                </c:pt>
                <c:pt idx="9">
                  <c:v>медицинское обслуживание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659</c:v>
                </c:pt>
                <c:pt idx="1">
                  <c:v>461</c:v>
                </c:pt>
                <c:pt idx="2">
                  <c:v>204</c:v>
                </c:pt>
                <c:pt idx="3">
                  <c:v>122</c:v>
                </c:pt>
                <c:pt idx="4">
                  <c:v>13</c:v>
                </c:pt>
                <c:pt idx="5">
                  <c:v>102</c:v>
                </c:pt>
                <c:pt idx="6">
                  <c:v>47</c:v>
                </c:pt>
                <c:pt idx="7">
                  <c:v>25</c:v>
                </c:pt>
                <c:pt idx="8">
                  <c:v>21</c:v>
                </c:pt>
                <c:pt idx="9">
                  <c:v>18</c:v>
                </c:pt>
              </c:numCache>
            </c:numRef>
          </c:val>
        </c:ser>
        <c:dLbls/>
      </c:pie3D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BB37C-F4D9-44B2-9F9C-7C352F35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Светлана Десятерик</cp:lastModifiedBy>
  <cp:revision>3</cp:revision>
  <dcterms:created xsi:type="dcterms:W3CDTF">2019-02-06T13:58:00Z</dcterms:created>
  <dcterms:modified xsi:type="dcterms:W3CDTF">2019-02-07T04:58:00Z</dcterms:modified>
</cp:coreProperties>
</file>