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E329EE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58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58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E329EE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43B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11DA4" w:rsidP="00202F09">
      <w:pPr>
        <w:rPr>
          <w:sz w:val="28"/>
        </w:rPr>
      </w:pPr>
      <w:r>
        <w:rPr>
          <w:sz w:val="28"/>
        </w:rPr>
        <w:t>23 мая 2025 г.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167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  <w:bookmarkStart w:id="0" w:name="_GoBack"/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000DD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Абдубатаеву Кубанычу Жумабаевичу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CE6EBC">
        <w:rPr>
          <w:color w:val="000000"/>
          <w:sz w:val="28"/>
          <w:szCs w:val="28"/>
        </w:rPr>
        <w:t xml:space="preserve">16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D000DD" w:rsidRPr="00D000DD">
        <w:rPr>
          <w:sz w:val="28"/>
          <w:szCs w:val="28"/>
        </w:rPr>
        <w:t>Абдубатаеву Кубанычу Жумабаевичу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 xml:space="preserve">Вручить </w:t>
      </w:r>
      <w:r w:rsidR="00D000DD" w:rsidRPr="00D000DD">
        <w:rPr>
          <w:sz w:val="28"/>
          <w:szCs w:val="28"/>
        </w:rPr>
        <w:t>Абдубатаеву Кубанычу Жумабаевичу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Занести в книгу Почетных граждан города Байконур имя</w:t>
      </w:r>
      <w:r w:rsidR="00055A5D" w:rsidRPr="00D000DD">
        <w:rPr>
          <w:sz w:val="28"/>
          <w:szCs w:val="28"/>
        </w:rPr>
        <w:br/>
      </w:r>
      <w:r w:rsidR="00D000DD" w:rsidRPr="00D000DD">
        <w:rPr>
          <w:sz w:val="28"/>
          <w:szCs w:val="28"/>
        </w:rPr>
        <w:t>Абдубатаева Кубаныча Жумабаевича</w:t>
      </w:r>
      <w:r w:rsidRPr="00D000DD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1E" w:rsidRDefault="002E5F1E">
      <w:r>
        <w:separator/>
      </w:r>
    </w:p>
  </w:endnote>
  <w:endnote w:type="continuationSeparator" w:id="0">
    <w:p w:rsidR="002E5F1E" w:rsidRDefault="002E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1E" w:rsidRDefault="002E5F1E">
      <w:r>
        <w:separator/>
      </w:r>
    </w:p>
  </w:footnote>
  <w:footnote w:type="continuationSeparator" w:id="0">
    <w:p w:rsidR="002E5F1E" w:rsidRDefault="002E5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E5F1E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812AF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11DA4"/>
    <w:rsid w:val="00A37CC3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29EE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8AF9E-629B-41A4-997B-F81BAF6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82156-B100-4967-BCD0-392A9AFE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2025-06-03T09:24:00Z</dcterms:created>
  <dcterms:modified xsi:type="dcterms:W3CDTF">2025-06-03T09:24:00Z</dcterms:modified>
</cp:coreProperties>
</file>