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C3" w:rsidRPr="002525C3" w:rsidRDefault="002525C3" w:rsidP="002525C3">
      <w:pPr>
        <w:pStyle w:val="a3"/>
        <w:tabs>
          <w:tab w:val="left" w:pos="4962"/>
        </w:tabs>
        <w:spacing w:before="120" w:line="360" w:lineRule="auto"/>
        <w:rPr>
          <w:sz w:val="16"/>
          <w:szCs w:val="16"/>
        </w:rPr>
      </w:pPr>
      <w:bookmarkStart w:id="0" w:name="_GoBack"/>
      <w:bookmarkEnd w:id="0"/>
      <w:r w:rsidRPr="00A1546F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35.55pt;width:65.75pt;height:65.1pt;z-index:-251658240" o:allowincell="f" filled="f" stroked="f">
            <v:textbox style="mso-next-textbox:#_x0000_s1035">
              <w:txbxContent>
                <w:p w:rsidR="00676E24" w:rsidRDefault="00676E24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058204" r:id="rId8"/>
                    </w:object>
                  </w:r>
                </w:p>
                <w:p w:rsidR="00676E24" w:rsidRDefault="00676E24">
                  <w:pPr>
                    <w:jc w:val="center"/>
                  </w:pPr>
                </w:p>
              </w:txbxContent>
            </v:textbox>
          </v:shape>
        </w:pict>
      </w:r>
      <w:r w:rsidR="000B21F2" w:rsidRPr="00A1546F">
        <w:rPr>
          <w:sz w:val="32"/>
        </w:rPr>
        <w:t xml:space="preserve">     </w:t>
      </w:r>
    </w:p>
    <w:p w:rsidR="00C138A5" w:rsidRPr="00A1546F" w:rsidRDefault="00C138A5" w:rsidP="002525C3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A1546F">
        <w:rPr>
          <w:sz w:val="28"/>
        </w:rPr>
        <w:t xml:space="preserve">         ГЛАВА  АДМИНИСТРАЦИИ  ГОРОДА  БАЙКОНУР</w:t>
      </w:r>
    </w:p>
    <w:p w:rsidR="00C138A5" w:rsidRPr="00A1546F" w:rsidRDefault="006229A9" w:rsidP="00627816">
      <w:pPr>
        <w:pStyle w:val="2"/>
        <w:spacing w:line="360" w:lineRule="auto"/>
        <w:rPr>
          <w:spacing w:val="100"/>
        </w:rPr>
      </w:pPr>
      <w:r w:rsidRPr="00A1546F">
        <w:rPr>
          <w:noProof/>
        </w:rPr>
        <w:pict>
          <v:line id="_x0000_s1027" style="position:absolute;left:0;text-align:left;z-index:251657216;mso-position-vertical-relative:page" from="1.7pt,130.2pt" to="491.3pt,130.2pt">
            <w10:wrap anchory="page"/>
          </v:line>
        </w:pict>
      </w:r>
      <w:r w:rsidR="00C138A5" w:rsidRPr="00A1546F">
        <w:rPr>
          <w:spacing w:val="100"/>
        </w:rPr>
        <w:t xml:space="preserve">ПОСТАНОВЛЕНИЕ </w:t>
      </w:r>
    </w:p>
    <w:p w:rsidR="00C138A5" w:rsidRPr="00A1546F" w:rsidRDefault="008C3AF5" w:rsidP="004556A6">
      <w:pPr>
        <w:rPr>
          <w:sz w:val="28"/>
        </w:rPr>
      </w:pPr>
      <w:r>
        <w:rPr>
          <w:sz w:val="28"/>
        </w:rPr>
        <w:t>07 октября 2019 г.</w:t>
      </w:r>
      <w:r w:rsidR="000B21F2" w:rsidRPr="00A1546F">
        <w:rPr>
          <w:sz w:val="28"/>
        </w:rPr>
        <w:tab/>
      </w:r>
      <w:r w:rsidR="000B21F2" w:rsidRPr="00A1546F">
        <w:rPr>
          <w:sz w:val="28"/>
        </w:rPr>
        <w:tab/>
      </w:r>
      <w:r w:rsidR="00E6609E" w:rsidRPr="00A1546F">
        <w:rPr>
          <w:sz w:val="28"/>
        </w:rPr>
        <w:t xml:space="preserve">                                       </w:t>
      </w:r>
      <w:r w:rsidR="00E6609E" w:rsidRPr="00A1546F">
        <w:rPr>
          <w:sz w:val="28"/>
        </w:rPr>
        <w:tab/>
      </w:r>
      <w:r w:rsidR="00E6609E" w:rsidRPr="00A1546F">
        <w:rPr>
          <w:sz w:val="28"/>
        </w:rPr>
        <w:tab/>
      </w:r>
      <w:r w:rsidR="00E6609E" w:rsidRPr="00A1546F">
        <w:rPr>
          <w:sz w:val="28"/>
        </w:rPr>
        <w:tab/>
      </w:r>
      <w:r w:rsidR="003154F5" w:rsidRPr="00A1546F">
        <w:rPr>
          <w:sz w:val="28"/>
        </w:rPr>
        <w:t xml:space="preserve">    </w:t>
      </w:r>
      <w:r w:rsidR="00E6609E" w:rsidRPr="00A1546F">
        <w:rPr>
          <w:sz w:val="28"/>
        </w:rPr>
        <w:t xml:space="preserve">    </w:t>
      </w:r>
      <w:r w:rsidR="004556A6" w:rsidRPr="00A1546F">
        <w:rPr>
          <w:sz w:val="28"/>
        </w:rPr>
        <w:t xml:space="preserve"> </w:t>
      </w:r>
      <w:r w:rsidR="000B21F2" w:rsidRPr="00A1546F">
        <w:rPr>
          <w:sz w:val="28"/>
        </w:rPr>
        <w:t xml:space="preserve">№ </w:t>
      </w:r>
      <w:r>
        <w:rPr>
          <w:sz w:val="28"/>
        </w:rPr>
        <w:t>494</w:t>
      </w:r>
    </w:p>
    <w:p w:rsidR="004556A6" w:rsidRPr="00A1546F" w:rsidRDefault="004556A6" w:rsidP="00627816">
      <w:pPr>
        <w:rPr>
          <w:b/>
          <w:sz w:val="28"/>
          <w:szCs w:val="28"/>
        </w:rPr>
      </w:pPr>
    </w:p>
    <w:p w:rsidR="008417BA" w:rsidRPr="00A1546F" w:rsidRDefault="00BA32CB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>О</w:t>
      </w:r>
      <w:r w:rsidR="00B66E23" w:rsidRPr="00A1546F">
        <w:rPr>
          <w:b/>
          <w:sz w:val="28"/>
          <w:szCs w:val="28"/>
        </w:rPr>
        <w:t xml:space="preserve"> </w:t>
      </w:r>
      <w:r w:rsidR="001F2408" w:rsidRPr="00A1546F">
        <w:rPr>
          <w:b/>
          <w:sz w:val="28"/>
          <w:szCs w:val="28"/>
        </w:rPr>
        <w:t>внесении изменени</w:t>
      </w:r>
      <w:r w:rsidR="003E5007" w:rsidRPr="00A1546F">
        <w:rPr>
          <w:b/>
          <w:sz w:val="28"/>
          <w:szCs w:val="28"/>
        </w:rPr>
        <w:t>й</w:t>
      </w:r>
      <w:r w:rsidR="000928C2" w:rsidRPr="00A1546F">
        <w:rPr>
          <w:b/>
          <w:sz w:val="28"/>
          <w:szCs w:val="28"/>
        </w:rPr>
        <w:t xml:space="preserve"> в Положение</w:t>
      </w:r>
      <w:r w:rsidR="00556A58" w:rsidRPr="00A1546F">
        <w:rPr>
          <w:b/>
          <w:sz w:val="28"/>
          <w:szCs w:val="28"/>
        </w:rPr>
        <w:t xml:space="preserve"> </w:t>
      </w:r>
    </w:p>
    <w:p w:rsidR="0084545C" w:rsidRPr="00A1546F" w:rsidRDefault="000928C2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об  </w:t>
      </w:r>
      <w:r w:rsidR="0084545C" w:rsidRPr="00A1546F">
        <w:rPr>
          <w:b/>
          <w:sz w:val="28"/>
          <w:szCs w:val="28"/>
        </w:rPr>
        <w:t>условиях оплаты</w:t>
      </w:r>
      <w:r w:rsidRPr="00A1546F">
        <w:rPr>
          <w:b/>
          <w:sz w:val="28"/>
          <w:szCs w:val="28"/>
        </w:rPr>
        <w:t xml:space="preserve"> труда руководителей</w:t>
      </w:r>
      <w:r w:rsidR="0084545C" w:rsidRPr="00A1546F">
        <w:rPr>
          <w:b/>
          <w:sz w:val="28"/>
          <w:szCs w:val="28"/>
        </w:rPr>
        <w:t>,</w:t>
      </w:r>
    </w:p>
    <w:p w:rsidR="000928C2" w:rsidRPr="00A1546F" w:rsidRDefault="000928C2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>их заместителей и главных бухгалтеров</w:t>
      </w:r>
    </w:p>
    <w:p w:rsidR="000928C2" w:rsidRPr="00A1546F" w:rsidRDefault="000928C2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государственных унитарных </w:t>
      </w:r>
    </w:p>
    <w:p w:rsidR="000928C2" w:rsidRPr="00A1546F" w:rsidRDefault="000928C2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предприятий, находящихся в ведении </w:t>
      </w:r>
    </w:p>
    <w:p w:rsidR="006A5231" w:rsidRPr="00A1546F" w:rsidRDefault="000928C2" w:rsidP="00627816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>администрации города Байконур</w:t>
      </w:r>
      <w:r w:rsidR="0084545C" w:rsidRPr="00A1546F">
        <w:rPr>
          <w:b/>
          <w:sz w:val="28"/>
          <w:szCs w:val="28"/>
        </w:rPr>
        <w:t>,</w:t>
      </w:r>
    </w:p>
    <w:p w:rsidR="006A5231" w:rsidRPr="00A1546F" w:rsidRDefault="006A5231" w:rsidP="008417BA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в новой редакции, </w:t>
      </w:r>
      <w:r w:rsidR="000928C2" w:rsidRPr="00A1546F">
        <w:rPr>
          <w:b/>
          <w:sz w:val="28"/>
          <w:szCs w:val="28"/>
        </w:rPr>
        <w:t xml:space="preserve">утвержденное </w:t>
      </w:r>
    </w:p>
    <w:p w:rsidR="008417BA" w:rsidRPr="00A1546F" w:rsidRDefault="00092170" w:rsidP="008417BA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>п</w:t>
      </w:r>
      <w:r w:rsidR="00616F2C" w:rsidRPr="00A1546F">
        <w:rPr>
          <w:b/>
          <w:sz w:val="28"/>
          <w:szCs w:val="28"/>
        </w:rPr>
        <w:t>о</w:t>
      </w:r>
      <w:r w:rsidR="001F2408" w:rsidRPr="00A1546F">
        <w:rPr>
          <w:b/>
          <w:sz w:val="28"/>
          <w:szCs w:val="28"/>
        </w:rPr>
        <w:t>становлени</w:t>
      </w:r>
      <w:r w:rsidR="00616F2C" w:rsidRPr="00A1546F">
        <w:rPr>
          <w:b/>
          <w:sz w:val="28"/>
          <w:szCs w:val="28"/>
        </w:rPr>
        <w:t>е</w:t>
      </w:r>
      <w:r w:rsidR="000928C2" w:rsidRPr="00A1546F">
        <w:rPr>
          <w:b/>
          <w:sz w:val="28"/>
          <w:szCs w:val="28"/>
        </w:rPr>
        <w:t>м</w:t>
      </w:r>
      <w:r w:rsidR="008417BA" w:rsidRPr="00A1546F">
        <w:rPr>
          <w:b/>
          <w:sz w:val="28"/>
          <w:szCs w:val="28"/>
        </w:rPr>
        <w:t xml:space="preserve"> </w:t>
      </w:r>
      <w:r w:rsidR="001F2408" w:rsidRPr="00A1546F">
        <w:rPr>
          <w:b/>
          <w:sz w:val="28"/>
          <w:szCs w:val="28"/>
        </w:rPr>
        <w:t>Главы</w:t>
      </w:r>
    </w:p>
    <w:p w:rsidR="00C61DDC" w:rsidRPr="00A1546F" w:rsidRDefault="001F2408" w:rsidP="008417BA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>администрации</w:t>
      </w:r>
      <w:r w:rsidR="00C61DDC" w:rsidRPr="00A1546F">
        <w:rPr>
          <w:b/>
          <w:sz w:val="28"/>
          <w:szCs w:val="28"/>
        </w:rPr>
        <w:t xml:space="preserve"> </w:t>
      </w:r>
      <w:r w:rsidRPr="00A1546F">
        <w:rPr>
          <w:b/>
          <w:sz w:val="28"/>
          <w:szCs w:val="28"/>
        </w:rPr>
        <w:t xml:space="preserve">города Байконур </w:t>
      </w:r>
      <w:r w:rsidR="00735475" w:rsidRPr="00A1546F">
        <w:rPr>
          <w:b/>
          <w:sz w:val="28"/>
          <w:szCs w:val="28"/>
        </w:rPr>
        <w:tab/>
      </w:r>
    </w:p>
    <w:p w:rsidR="001F2408" w:rsidRPr="00A1546F" w:rsidRDefault="00C61DDC" w:rsidP="00131BA8">
      <w:pPr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от </w:t>
      </w:r>
      <w:r w:rsidR="00701935" w:rsidRPr="00A1546F">
        <w:rPr>
          <w:b/>
          <w:sz w:val="28"/>
          <w:szCs w:val="28"/>
        </w:rPr>
        <w:t>26 декаб</w:t>
      </w:r>
      <w:r w:rsidR="00804F6C" w:rsidRPr="00A1546F">
        <w:rPr>
          <w:b/>
          <w:sz w:val="28"/>
          <w:szCs w:val="28"/>
        </w:rPr>
        <w:t>ря</w:t>
      </w:r>
      <w:r w:rsidR="00816029" w:rsidRPr="00A1546F">
        <w:rPr>
          <w:b/>
          <w:sz w:val="28"/>
          <w:szCs w:val="28"/>
        </w:rPr>
        <w:t xml:space="preserve"> 2017</w:t>
      </w:r>
      <w:r w:rsidR="001F2408" w:rsidRPr="00A1546F">
        <w:rPr>
          <w:b/>
          <w:sz w:val="28"/>
          <w:szCs w:val="28"/>
        </w:rPr>
        <w:t xml:space="preserve"> г. № </w:t>
      </w:r>
      <w:r w:rsidR="00816029" w:rsidRPr="00A1546F">
        <w:rPr>
          <w:b/>
          <w:sz w:val="28"/>
          <w:szCs w:val="28"/>
        </w:rPr>
        <w:t>46</w:t>
      </w:r>
      <w:r w:rsidR="003A6E6B" w:rsidRPr="00A1546F">
        <w:rPr>
          <w:b/>
          <w:sz w:val="28"/>
          <w:szCs w:val="28"/>
        </w:rPr>
        <w:t>0</w:t>
      </w:r>
    </w:p>
    <w:p w:rsidR="00526943" w:rsidRDefault="001F2408" w:rsidP="008F57C1">
      <w:pPr>
        <w:spacing w:line="276" w:lineRule="auto"/>
        <w:rPr>
          <w:b/>
          <w:sz w:val="28"/>
          <w:szCs w:val="28"/>
        </w:rPr>
      </w:pPr>
      <w:r w:rsidRPr="00A1546F">
        <w:rPr>
          <w:b/>
          <w:sz w:val="28"/>
          <w:szCs w:val="28"/>
        </w:rPr>
        <w:t xml:space="preserve"> </w:t>
      </w:r>
    </w:p>
    <w:p w:rsidR="00A23865" w:rsidRPr="00A1546F" w:rsidRDefault="00A23865" w:rsidP="008F57C1">
      <w:pPr>
        <w:spacing w:line="276" w:lineRule="auto"/>
        <w:rPr>
          <w:sz w:val="16"/>
          <w:szCs w:val="16"/>
        </w:rPr>
      </w:pPr>
    </w:p>
    <w:p w:rsidR="00E506DF" w:rsidRPr="00A1546F" w:rsidRDefault="00E506DF" w:rsidP="008F57C1">
      <w:pPr>
        <w:spacing w:line="276" w:lineRule="auto"/>
        <w:ind w:firstLine="720"/>
        <w:jc w:val="both"/>
        <w:rPr>
          <w:sz w:val="28"/>
        </w:rPr>
      </w:pPr>
      <w:r w:rsidRPr="00A1546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07F66" w:rsidRPr="00C07F66">
        <w:rPr>
          <w:sz w:val="28"/>
        </w:rPr>
        <w:t xml:space="preserve">                     </w:t>
      </w:r>
      <w:r w:rsidRPr="00A1546F">
        <w:rPr>
          <w:sz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A1546F">
          <w:rPr>
            <w:sz w:val="28"/>
          </w:rPr>
          <w:t>1995 г</w:t>
        </w:r>
      </w:smartTag>
      <w:r w:rsidRPr="00A1546F">
        <w:rPr>
          <w:sz w:val="28"/>
        </w:rPr>
        <w:t>.</w:t>
      </w:r>
      <w:r w:rsidR="00442E27" w:rsidRPr="00A1546F">
        <w:rPr>
          <w:sz w:val="28"/>
        </w:rPr>
        <w:t>,</w:t>
      </w:r>
      <w:r w:rsidR="00EB13DC" w:rsidRPr="00A1546F">
        <w:t xml:space="preserve"> </w:t>
      </w:r>
      <w:r w:rsidR="00EB13DC" w:rsidRPr="00A1546F">
        <w:rPr>
          <w:sz w:val="28"/>
        </w:rPr>
        <w:t xml:space="preserve">в соответствии </w:t>
      </w:r>
      <w:r w:rsidR="00C07F66" w:rsidRPr="00C07F66">
        <w:rPr>
          <w:sz w:val="28"/>
        </w:rPr>
        <w:t xml:space="preserve">              </w:t>
      </w:r>
      <w:r w:rsidR="00EB13DC" w:rsidRPr="00A1546F">
        <w:rPr>
          <w:sz w:val="28"/>
        </w:rPr>
        <w:t xml:space="preserve">с Трудовым кодексом Российской Федерации, </w:t>
      </w:r>
      <w:r w:rsidR="00442E27" w:rsidRPr="00A1546F">
        <w:rPr>
          <w:sz w:val="28"/>
        </w:rPr>
        <w:t xml:space="preserve">с целью совершенствования системы оплаты труда </w:t>
      </w:r>
      <w:r w:rsidR="00EB13DC" w:rsidRPr="00A1546F">
        <w:rPr>
          <w:sz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</w:t>
      </w:r>
      <w:r w:rsidR="003B368F" w:rsidRPr="00A1546F">
        <w:rPr>
          <w:sz w:val="28"/>
        </w:rPr>
        <w:t>,</w:t>
      </w:r>
    </w:p>
    <w:p w:rsidR="000134A9" w:rsidRPr="00A1546F" w:rsidRDefault="000134A9" w:rsidP="008F57C1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A1546F">
        <w:rPr>
          <w:b/>
          <w:spacing w:val="20"/>
          <w:sz w:val="26"/>
          <w:szCs w:val="26"/>
        </w:rPr>
        <w:t>ПОСТАНОВЛЯЮ</w:t>
      </w:r>
      <w:r w:rsidRPr="00A1546F">
        <w:rPr>
          <w:b/>
          <w:sz w:val="26"/>
          <w:szCs w:val="26"/>
        </w:rPr>
        <w:t>:</w:t>
      </w:r>
    </w:p>
    <w:p w:rsidR="00F9305C" w:rsidRPr="00A1546F" w:rsidRDefault="00816029" w:rsidP="008F57C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A1546F">
        <w:rPr>
          <w:sz w:val="28"/>
          <w:szCs w:val="28"/>
        </w:rPr>
        <w:t>1. Внести в П</w:t>
      </w:r>
      <w:r w:rsidR="00F9305C" w:rsidRPr="00A1546F">
        <w:rPr>
          <w:sz w:val="28"/>
          <w:szCs w:val="28"/>
        </w:rPr>
        <w:t xml:space="preserve">оложение об </w:t>
      </w:r>
      <w:r w:rsidR="006A5231" w:rsidRPr="00A1546F">
        <w:rPr>
          <w:sz w:val="28"/>
          <w:szCs w:val="28"/>
        </w:rPr>
        <w:t>условиях оплаты</w:t>
      </w:r>
      <w:r w:rsidR="00F9305C" w:rsidRPr="00A1546F">
        <w:rPr>
          <w:sz w:val="28"/>
          <w:szCs w:val="28"/>
        </w:rPr>
        <w:t xml:space="preserve"> труда </w:t>
      </w:r>
      <w:r w:rsidRPr="00A1546F">
        <w:rPr>
          <w:sz w:val="28"/>
          <w:szCs w:val="28"/>
        </w:rPr>
        <w:t xml:space="preserve">руководителей, </w:t>
      </w:r>
      <w:r w:rsidR="00C07F66" w:rsidRPr="00C07F66">
        <w:rPr>
          <w:sz w:val="28"/>
          <w:szCs w:val="28"/>
        </w:rPr>
        <w:t xml:space="preserve">                 </w:t>
      </w:r>
      <w:r w:rsidRPr="00A1546F">
        <w:rPr>
          <w:sz w:val="28"/>
          <w:szCs w:val="28"/>
        </w:rPr>
        <w:t>их заместителей и главных бухгалтеров</w:t>
      </w:r>
      <w:r w:rsidR="00F9305C" w:rsidRPr="00A1546F">
        <w:rPr>
          <w:sz w:val="28"/>
          <w:szCs w:val="28"/>
        </w:rPr>
        <w:t xml:space="preserve"> государственных </w:t>
      </w:r>
      <w:r w:rsidRPr="00A1546F">
        <w:rPr>
          <w:sz w:val="28"/>
          <w:szCs w:val="28"/>
        </w:rPr>
        <w:t>унитарных предприятий</w:t>
      </w:r>
      <w:r w:rsidR="00F9305C" w:rsidRPr="00A1546F">
        <w:rPr>
          <w:sz w:val="28"/>
          <w:szCs w:val="28"/>
        </w:rPr>
        <w:t xml:space="preserve">, находящихся в ведении администрации города Байконур, </w:t>
      </w:r>
      <w:r w:rsidRPr="00A1546F">
        <w:rPr>
          <w:sz w:val="28"/>
          <w:szCs w:val="28"/>
        </w:rPr>
        <w:t>в новой редакции</w:t>
      </w:r>
      <w:r w:rsidR="00F9305C" w:rsidRPr="00A1546F">
        <w:rPr>
          <w:sz w:val="28"/>
          <w:szCs w:val="28"/>
        </w:rPr>
        <w:t>, утвержденное постановлением Главы администрации города Байконур от 26 декабря 20</w:t>
      </w:r>
      <w:r w:rsidRPr="00A1546F">
        <w:rPr>
          <w:sz w:val="28"/>
          <w:szCs w:val="28"/>
        </w:rPr>
        <w:t>17 г. № 46</w:t>
      </w:r>
      <w:r w:rsidR="00F9305C" w:rsidRPr="00A1546F">
        <w:rPr>
          <w:sz w:val="28"/>
          <w:szCs w:val="28"/>
        </w:rPr>
        <w:t xml:space="preserve">0 «Об </w:t>
      </w:r>
      <w:r w:rsidR="00EF3566" w:rsidRPr="00A1546F">
        <w:rPr>
          <w:sz w:val="28"/>
          <w:szCs w:val="28"/>
        </w:rPr>
        <w:t>условиях оплаты</w:t>
      </w:r>
      <w:r w:rsidR="00F9305C" w:rsidRPr="00A1546F">
        <w:rPr>
          <w:sz w:val="28"/>
          <w:szCs w:val="28"/>
        </w:rPr>
        <w:t xml:space="preserve"> труда </w:t>
      </w:r>
      <w:r w:rsidR="00EF3566" w:rsidRPr="00A1546F">
        <w:rPr>
          <w:sz w:val="28"/>
          <w:szCs w:val="28"/>
        </w:rPr>
        <w:t>руководителей, их заместителей и главных бухгалтеров государственных унитарных предприятий, находящихся в ведении администрации города Байконур, в новой редакции</w:t>
      </w:r>
      <w:r w:rsidR="00605F51" w:rsidRPr="00A1546F">
        <w:rPr>
          <w:sz w:val="28"/>
          <w:szCs w:val="28"/>
        </w:rPr>
        <w:t>»</w:t>
      </w:r>
      <w:r w:rsidR="00B90EE0">
        <w:rPr>
          <w:sz w:val="28"/>
          <w:szCs w:val="28"/>
        </w:rPr>
        <w:t xml:space="preserve"> </w:t>
      </w:r>
      <w:r w:rsidR="0072346B" w:rsidRPr="00A1546F">
        <w:rPr>
          <w:sz w:val="28"/>
          <w:szCs w:val="28"/>
        </w:rPr>
        <w:t>(с изменениями)</w:t>
      </w:r>
      <w:r w:rsidR="00F9305C" w:rsidRPr="00A1546F">
        <w:rPr>
          <w:sz w:val="28"/>
          <w:szCs w:val="28"/>
        </w:rPr>
        <w:t xml:space="preserve"> (далее</w:t>
      </w:r>
      <w:r w:rsidR="00614225">
        <w:rPr>
          <w:sz w:val="28"/>
          <w:szCs w:val="28"/>
        </w:rPr>
        <w:t xml:space="preserve"> – </w:t>
      </w:r>
      <w:r w:rsidR="00614225" w:rsidRPr="00A1546F">
        <w:rPr>
          <w:sz w:val="28"/>
          <w:szCs w:val="28"/>
        </w:rPr>
        <w:t>Положение</w:t>
      </w:r>
      <w:r w:rsidR="00F9305C" w:rsidRPr="00A1546F">
        <w:rPr>
          <w:sz w:val="28"/>
          <w:szCs w:val="28"/>
        </w:rPr>
        <w:t>)</w:t>
      </w:r>
      <w:r w:rsidR="00EF3566" w:rsidRPr="00A1546F">
        <w:rPr>
          <w:sz w:val="28"/>
          <w:szCs w:val="28"/>
        </w:rPr>
        <w:t>, следующ</w:t>
      </w:r>
      <w:r w:rsidR="00661466" w:rsidRPr="00A1546F">
        <w:rPr>
          <w:sz w:val="28"/>
          <w:szCs w:val="28"/>
        </w:rPr>
        <w:t>и</w:t>
      </w:r>
      <w:r w:rsidR="00B15AC4" w:rsidRPr="00A1546F">
        <w:rPr>
          <w:sz w:val="28"/>
          <w:szCs w:val="28"/>
        </w:rPr>
        <w:t>е изменени</w:t>
      </w:r>
      <w:r w:rsidR="00661466" w:rsidRPr="00A1546F">
        <w:rPr>
          <w:sz w:val="28"/>
          <w:szCs w:val="28"/>
        </w:rPr>
        <w:t>я</w:t>
      </w:r>
      <w:r w:rsidR="00F9305C" w:rsidRPr="00A1546F">
        <w:rPr>
          <w:sz w:val="28"/>
          <w:szCs w:val="28"/>
        </w:rPr>
        <w:t>:</w:t>
      </w:r>
    </w:p>
    <w:p w:rsidR="00A45891" w:rsidRPr="00A1546F" w:rsidRDefault="007E08C2" w:rsidP="008F57C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A1546F">
        <w:rPr>
          <w:sz w:val="28"/>
          <w:szCs w:val="28"/>
        </w:rPr>
        <w:t xml:space="preserve">1.1. </w:t>
      </w:r>
      <w:r w:rsidR="00A45891" w:rsidRPr="00A1546F">
        <w:rPr>
          <w:sz w:val="28"/>
          <w:szCs w:val="28"/>
        </w:rPr>
        <w:t>Пункт 2.2 раздела 2 Положения  изложить в следующей редакции:</w:t>
      </w:r>
    </w:p>
    <w:p w:rsidR="00A45891" w:rsidRDefault="00A45891" w:rsidP="008F57C1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46F">
        <w:rPr>
          <w:rFonts w:ascii="Times New Roman" w:hAnsi="Times New Roman" w:cs="Times New Roman"/>
          <w:b w:val="0"/>
          <w:sz w:val="28"/>
          <w:szCs w:val="28"/>
        </w:rPr>
        <w:t xml:space="preserve">«2.2. Размер должностного оклада устанавливается в зависимости </w:t>
      </w:r>
      <w:r w:rsidR="00C07F66" w:rsidRPr="00C07F66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A1546F">
        <w:rPr>
          <w:rFonts w:ascii="Times New Roman" w:hAnsi="Times New Roman" w:cs="Times New Roman"/>
          <w:b w:val="0"/>
          <w:sz w:val="28"/>
          <w:szCs w:val="28"/>
        </w:rPr>
        <w:t xml:space="preserve">от  сложности труда и масштаба управления, исходя из </w:t>
      </w:r>
      <w:r w:rsidRPr="00A1546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среднесписочной численности работников Предприятия </w:t>
      </w:r>
      <w:r w:rsidRPr="00A1546F">
        <w:rPr>
          <w:rFonts w:ascii="Times New Roman" w:hAnsi="Times New Roman" w:cs="Times New Roman"/>
          <w:b w:val="0"/>
          <w:sz w:val="28"/>
          <w:szCs w:val="28"/>
        </w:rPr>
        <w:t>и сферы  деятельности Предприятия, рассчитывается  по формуле:</w:t>
      </w:r>
    </w:p>
    <w:p w:rsidR="002525C3" w:rsidRDefault="00610283" w:rsidP="009732DE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>О</w:t>
      </w:r>
      <w:r w:rsidR="00A45891" w:rsidRPr="00A1546F">
        <w:rPr>
          <w:rFonts w:ascii="Times New Roman" w:hAnsi="Times New Roman" w:cs="Times New Roman"/>
          <w:b w:val="0"/>
          <w:sz w:val="24"/>
          <w:szCs w:val="24"/>
        </w:rPr>
        <w:t>р</w:t>
      </w:r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 xml:space="preserve"> = Б</w:t>
      </w:r>
      <w:r w:rsidR="00FC5858">
        <w:rPr>
          <w:rFonts w:ascii="Times New Roman" w:hAnsi="Times New Roman" w:cs="Times New Roman"/>
          <w:b w:val="0"/>
          <w:sz w:val="24"/>
          <w:szCs w:val="24"/>
        </w:rPr>
        <w:t>ед</w:t>
      </w:r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>*(</w:t>
      </w:r>
      <w:proofErr w:type="spellStart"/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>К</w:t>
      </w:r>
      <w:r w:rsidR="00A45891" w:rsidRPr="00A1546F">
        <w:rPr>
          <w:rFonts w:ascii="Times New Roman" w:hAnsi="Times New Roman" w:cs="Times New Roman"/>
          <w:b w:val="0"/>
          <w:sz w:val="24"/>
          <w:szCs w:val="24"/>
        </w:rPr>
        <w:t>числ</w:t>
      </w:r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>+К</w:t>
      </w:r>
      <w:r w:rsidR="00A45891" w:rsidRPr="00A1546F">
        <w:rPr>
          <w:rFonts w:ascii="Times New Roman" w:hAnsi="Times New Roman" w:cs="Times New Roman"/>
          <w:b w:val="0"/>
          <w:sz w:val="24"/>
          <w:szCs w:val="24"/>
        </w:rPr>
        <w:t>деят</w:t>
      </w:r>
      <w:proofErr w:type="spellEnd"/>
      <w:r w:rsidR="00A45891" w:rsidRPr="00A1546F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</w:p>
    <w:p w:rsidR="00A45891" w:rsidRPr="00A1546F" w:rsidRDefault="00A45891" w:rsidP="009732DE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46F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A45891" w:rsidRPr="00A1546F" w:rsidRDefault="00A45891" w:rsidP="008F57C1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546F">
        <w:rPr>
          <w:rFonts w:ascii="Times New Roman" w:hAnsi="Times New Roman" w:cs="Times New Roman"/>
          <w:b w:val="0"/>
          <w:sz w:val="28"/>
          <w:szCs w:val="28"/>
        </w:rPr>
        <w:lastRenderedPageBreak/>
        <w:t>О</w:t>
      </w:r>
      <w:r w:rsidRPr="00A1546F">
        <w:rPr>
          <w:rFonts w:ascii="Times New Roman" w:hAnsi="Times New Roman" w:cs="Times New Roman"/>
          <w:b w:val="0"/>
          <w:sz w:val="24"/>
          <w:szCs w:val="24"/>
        </w:rPr>
        <w:t>р</w:t>
      </w:r>
      <w:r w:rsidRPr="00A1546F">
        <w:rPr>
          <w:rFonts w:ascii="Times New Roman" w:hAnsi="Times New Roman" w:cs="Times New Roman"/>
          <w:b w:val="0"/>
          <w:sz w:val="28"/>
          <w:szCs w:val="28"/>
        </w:rPr>
        <w:t xml:space="preserve"> – оклад руководителя Предприятия;</w:t>
      </w:r>
    </w:p>
    <w:p w:rsidR="00A45891" w:rsidRPr="00095F43" w:rsidRDefault="00A45891" w:rsidP="008F57C1">
      <w:pPr>
        <w:pStyle w:val="ConsPlusTitle"/>
        <w:widowControl/>
        <w:spacing w:line="276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5F43">
        <w:rPr>
          <w:rFonts w:ascii="Times New Roman" w:hAnsi="Times New Roman" w:cs="Times New Roman"/>
          <w:b w:val="0"/>
          <w:sz w:val="28"/>
          <w:szCs w:val="28"/>
        </w:rPr>
        <w:t>Б</w:t>
      </w:r>
      <w:r w:rsidR="003A4681">
        <w:rPr>
          <w:rFonts w:ascii="Times New Roman" w:hAnsi="Times New Roman" w:cs="Times New Roman"/>
          <w:b w:val="0"/>
          <w:sz w:val="24"/>
          <w:szCs w:val="24"/>
        </w:rPr>
        <w:t>ед</w:t>
      </w:r>
      <w:r w:rsidRPr="00095F43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095F43">
        <w:rPr>
          <w:rFonts w:ascii="Times New Roman" w:hAnsi="Times New Roman" w:cs="Times New Roman"/>
          <w:b w:val="0"/>
          <w:sz w:val="28"/>
          <w:szCs w:val="28"/>
        </w:rPr>
        <w:t xml:space="preserve">базовая </w:t>
      </w:r>
      <w:r w:rsidR="003A4681">
        <w:rPr>
          <w:rFonts w:ascii="Times New Roman" w:hAnsi="Times New Roman" w:cs="Times New Roman"/>
          <w:b w:val="0"/>
          <w:sz w:val="28"/>
          <w:szCs w:val="28"/>
        </w:rPr>
        <w:t>единица</w:t>
      </w:r>
      <w:r w:rsidR="00610283" w:rsidRPr="00095F43">
        <w:rPr>
          <w:rFonts w:ascii="Times New Roman" w:hAnsi="Times New Roman" w:cs="Times New Roman"/>
          <w:b w:val="0"/>
          <w:sz w:val="28"/>
          <w:szCs w:val="28"/>
        </w:rPr>
        <w:t>;</w:t>
      </w:r>
      <w:r w:rsidR="001D3467" w:rsidRPr="00095F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5891" w:rsidRDefault="00A45891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A1546F">
        <w:rPr>
          <w:sz w:val="28"/>
          <w:szCs w:val="28"/>
        </w:rPr>
        <w:t>К</w:t>
      </w:r>
      <w:r w:rsidRPr="00A1546F">
        <w:rPr>
          <w:sz w:val="24"/>
          <w:szCs w:val="24"/>
        </w:rPr>
        <w:t>числ</w:t>
      </w:r>
      <w:proofErr w:type="spellEnd"/>
      <w:r w:rsidRPr="00A1546F">
        <w:rPr>
          <w:sz w:val="28"/>
          <w:szCs w:val="28"/>
        </w:rPr>
        <w:t xml:space="preserve"> </w:t>
      </w:r>
      <w:r w:rsidRPr="00A1546F">
        <w:rPr>
          <w:b/>
          <w:sz w:val="28"/>
          <w:szCs w:val="28"/>
        </w:rPr>
        <w:t>–</w:t>
      </w:r>
      <w:r w:rsidRPr="00A1546F">
        <w:rPr>
          <w:sz w:val="28"/>
          <w:szCs w:val="28"/>
        </w:rPr>
        <w:t xml:space="preserve"> коэффициент сложности</w:t>
      </w:r>
      <w:r w:rsidR="00A54041">
        <w:rPr>
          <w:sz w:val="28"/>
          <w:szCs w:val="28"/>
        </w:rPr>
        <w:t xml:space="preserve"> управления</w:t>
      </w:r>
      <w:r w:rsidR="00F75639">
        <w:rPr>
          <w:sz w:val="28"/>
          <w:szCs w:val="28"/>
        </w:rPr>
        <w:t>;</w:t>
      </w:r>
    </w:p>
    <w:p w:rsidR="00257F30" w:rsidRDefault="00F75639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F75639">
        <w:rPr>
          <w:sz w:val="28"/>
          <w:szCs w:val="28"/>
        </w:rPr>
        <w:t>К</w:t>
      </w:r>
      <w:r w:rsidRPr="00F75639">
        <w:rPr>
          <w:sz w:val="24"/>
          <w:szCs w:val="24"/>
        </w:rPr>
        <w:t>деят</w:t>
      </w:r>
      <w:proofErr w:type="spellEnd"/>
      <w:r w:rsidRPr="00F75639">
        <w:rPr>
          <w:sz w:val="28"/>
          <w:szCs w:val="28"/>
        </w:rPr>
        <w:t xml:space="preserve"> – коэффициент сферы деятельности Предприятия</w:t>
      </w:r>
      <w:r w:rsidR="003A10CF">
        <w:rPr>
          <w:sz w:val="28"/>
          <w:szCs w:val="28"/>
        </w:rPr>
        <w:t>.</w:t>
      </w:r>
    </w:p>
    <w:p w:rsidR="003A10CF" w:rsidRPr="00F75639" w:rsidRDefault="00F713E3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Базовая единиц</w:t>
      </w:r>
      <w:r w:rsidR="00FC1833">
        <w:rPr>
          <w:sz w:val="28"/>
          <w:szCs w:val="28"/>
        </w:rPr>
        <w:t>а рассчитывается по формуле:</w:t>
      </w:r>
    </w:p>
    <w:p w:rsidR="00610283" w:rsidRDefault="00610283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D7742" w:rsidRPr="00ED7742">
        <w:rPr>
          <w:sz w:val="28"/>
          <w:szCs w:val="28"/>
        </w:rPr>
        <w:t>Б</w:t>
      </w:r>
      <w:r w:rsidR="00895427">
        <w:rPr>
          <w:sz w:val="24"/>
          <w:szCs w:val="24"/>
        </w:rPr>
        <w:t>ед</w:t>
      </w:r>
      <w:r w:rsidR="00ED7742">
        <w:rPr>
          <w:sz w:val="24"/>
          <w:szCs w:val="24"/>
        </w:rPr>
        <w:t xml:space="preserve"> = </w:t>
      </w:r>
      <w:proofErr w:type="spellStart"/>
      <w:r w:rsidR="00ED7742" w:rsidRPr="00ED7742">
        <w:rPr>
          <w:sz w:val="28"/>
          <w:szCs w:val="28"/>
        </w:rPr>
        <w:t>Б</w:t>
      </w:r>
      <w:r w:rsidR="00471FE0">
        <w:rPr>
          <w:sz w:val="24"/>
          <w:szCs w:val="24"/>
        </w:rPr>
        <w:t>пост</w:t>
      </w:r>
      <w:proofErr w:type="spellEnd"/>
      <w:r>
        <w:rPr>
          <w:sz w:val="24"/>
          <w:szCs w:val="24"/>
        </w:rPr>
        <w:t xml:space="preserve"> </w:t>
      </w:r>
      <w:r w:rsidR="00ED7742" w:rsidRPr="00ED7742">
        <w:rPr>
          <w:sz w:val="28"/>
          <w:szCs w:val="28"/>
        </w:rPr>
        <w:t xml:space="preserve"> *</w:t>
      </w:r>
      <w:r w:rsidR="00630D3A">
        <w:rPr>
          <w:sz w:val="28"/>
          <w:szCs w:val="28"/>
        </w:rPr>
        <w:t>(</w:t>
      </w:r>
      <w:proofErr w:type="spellStart"/>
      <w:r w:rsidR="00ED7742" w:rsidRPr="00ED7742">
        <w:rPr>
          <w:sz w:val="28"/>
          <w:szCs w:val="28"/>
        </w:rPr>
        <w:t>У</w:t>
      </w:r>
      <w:r w:rsidR="00ED7742" w:rsidRPr="00ED7742">
        <w:rPr>
          <w:sz w:val="24"/>
          <w:szCs w:val="24"/>
        </w:rPr>
        <w:t>инф</w:t>
      </w:r>
      <w:r w:rsidR="00A4591E">
        <w:rPr>
          <w:sz w:val="24"/>
          <w:szCs w:val="24"/>
        </w:rPr>
        <w:t>л</w:t>
      </w:r>
      <w:proofErr w:type="spellEnd"/>
      <w:r w:rsidR="00630D3A">
        <w:rPr>
          <w:sz w:val="24"/>
          <w:szCs w:val="24"/>
        </w:rPr>
        <w:t xml:space="preserve"> + 100%)</w:t>
      </w:r>
      <w:r>
        <w:rPr>
          <w:sz w:val="24"/>
          <w:szCs w:val="24"/>
        </w:rPr>
        <w:t>,</w:t>
      </w:r>
      <w:r w:rsidRPr="00610283">
        <w:rPr>
          <w:b/>
          <w:sz w:val="28"/>
          <w:szCs w:val="28"/>
        </w:rPr>
        <w:t xml:space="preserve"> </w:t>
      </w:r>
    </w:p>
    <w:p w:rsidR="00610283" w:rsidRDefault="00610283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10283">
        <w:rPr>
          <w:sz w:val="28"/>
          <w:szCs w:val="28"/>
        </w:rPr>
        <w:t>где:</w:t>
      </w:r>
    </w:p>
    <w:p w:rsidR="00095F43" w:rsidRDefault="00095F43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D7742">
        <w:rPr>
          <w:sz w:val="28"/>
          <w:szCs w:val="28"/>
        </w:rPr>
        <w:t>Б</w:t>
      </w:r>
      <w:r w:rsidR="00895427">
        <w:rPr>
          <w:sz w:val="24"/>
          <w:szCs w:val="24"/>
        </w:rPr>
        <w:t>ед</w:t>
      </w:r>
      <w:r>
        <w:rPr>
          <w:sz w:val="24"/>
          <w:szCs w:val="24"/>
        </w:rPr>
        <w:t xml:space="preserve"> – </w:t>
      </w:r>
      <w:r w:rsidRPr="00257F30">
        <w:rPr>
          <w:sz w:val="28"/>
          <w:szCs w:val="28"/>
        </w:rPr>
        <w:t xml:space="preserve">базовая </w:t>
      </w:r>
      <w:r w:rsidR="00895427">
        <w:rPr>
          <w:sz w:val="28"/>
          <w:szCs w:val="28"/>
        </w:rPr>
        <w:t>единиц</w:t>
      </w:r>
      <w:r w:rsidRPr="00257F30">
        <w:rPr>
          <w:sz w:val="28"/>
          <w:szCs w:val="28"/>
        </w:rPr>
        <w:t>а</w:t>
      </w:r>
      <w:r w:rsidR="000E21C1">
        <w:rPr>
          <w:sz w:val="28"/>
          <w:szCs w:val="28"/>
        </w:rPr>
        <w:t>;</w:t>
      </w:r>
      <w:r w:rsidRPr="00257F30">
        <w:rPr>
          <w:sz w:val="28"/>
          <w:szCs w:val="28"/>
        </w:rPr>
        <w:t xml:space="preserve">  </w:t>
      </w:r>
    </w:p>
    <w:p w:rsidR="00471FE0" w:rsidRPr="00F805B4" w:rsidRDefault="00257F30" w:rsidP="00F805B4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F805B4">
        <w:rPr>
          <w:sz w:val="28"/>
          <w:szCs w:val="28"/>
        </w:rPr>
        <w:t>Б</w:t>
      </w:r>
      <w:r w:rsidR="00471FE0" w:rsidRPr="00F805B4">
        <w:rPr>
          <w:sz w:val="24"/>
          <w:szCs w:val="24"/>
        </w:rPr>
        <w:t>пост</w:t>
      </w:r>
      <w:proofErr w:type="spellEnd"/>
      <w:r w:rsidRPr="00F805B4">
        <w:rPr>
          <w:sz w:val="28"/>
          <w:szCs w:val="28"/>
        </w:rPr>
        <w:t xml:space="preserve"> – </w:t>
      </w:r>
      <w:r w:rsidR="00471FE0" w:rsidRPr="00F805B4">
        <w:rPr>
          <w:sz w:val="28"/>
          <w:szCs w:val="28"/>
        </w:rPr>
        <w:t>постоянная величина, равная 11</w:t>
      </w:r>
      <w:r w:rsidR="00403DB3" w:rsidRPr="00F805B4">
        <w:rPr>
          <w:sz w:val="28"/>
          <w:szCs w:val="28"/>
        </w:rPr>
        <w:t> </w:t>
      </w:r>
      <w:r w:rsidR="00471FE0" w:rsidRPr="00F805B4">
        <w:rPr>
          <w:sz w:val="28"/>
          <w:szCs w:val="28"/>
        </w:rPr>
        <w:t>280</w:t>
      </w:r>
      <w:r w:rsidR="00403DB3" w:rsidRPr="00F805B4">
        <w:rPr>
          <w:sz w:val="28"/>
          <w:szCs w:val="28"/>
        </w:rPr>
        <w:t xml:space="preserve"> руб.</w:t>
      </w:r>
      <w:r w:rsidR="00471FE0" w:rsidRPr="00F805B4">
        <w:rPr>
          <w:sz w:val="28"/>
          <w:szCs w:val="28"/>
        </w:rPr>
        <w:t>, принятая на уровне минимального размера оплаты труда</w:t>
      </w:r>
      <w:r w:rsidR="00403DB3" w:rsidRPr="00F805B4">
        <w:rPr>
          <w:sz w:val="28"/>
          <w:szCs w:val="28"/>
        </w:rPr>
        <w:t>, установленного Общегородским территориальным соглашением между Первичной профсоюзной организацией комплекса «Байконур», руководителями государственных унитарных предприятий, государственных бюджетных и казенных учреждений, находящихся в ведении администрации города Байконур, и администрацией города Байконур</w:t>
      </w:r>
      <w:r w:rsidR="00471FE0" w:rsidRPr="00F805B4">
        <w:rPr>
          <w:sz w:val="28"/>
          <w:szCs w:val="28"/>
        </w:rPr>
        <w:t xml:space="preserve"> </w:t>
      </w:r>
      <w:r w:rsidR="00F805B4" w:rsidRPr="00F805B4">
        <w:rPr>
          <w:sz w:val="28"/>
          <w:szCs w:val="28"/>
        </w:rPr>
        <w:t>на</w:t>
      </w:r>
      <w:r w:rsidR="00471FE0" w:rsidRPr="00F805B4">
        <w:rPr>
          <w:sz w:val="28"/>
          <w:szCs w:val="28"/>
        </w:rPr>
        <w:t xml:space="preserve"> 2019 г</w:t>
      </w:r>
      <w:r w:rsidR="00F805B4" w:rsidRPr="00F805B4">
        <w:rPr>
          <w:sz w:val="28"/>
          <w:szCs w:val="28"/>
        </w:rPr>
        <w:t>од</w:t>
      </w:r>
      <w:r w:rsidR="00A23865" w:rsidRPr="00F805B4">
        <w:rPr>
          <w:sz w:val="28"/>
          <w:szCs w:val="28"/>
        </w:rPr>
        <w:t>;</w:t>
      </w:r>
    </w:p>
    <w:p w:rsidR="00257F30" w:rsidRPr="00B853B3" w:rsidRDefault="00257F30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B853B3">
        <w:rPr>
          <w:sz w:val="28"/>
          <w:szCs w:val="28"/>
        </w:rPr>
        <w:t>У</w:t>
      </w:r>
      <w:r w:rsidRPr="00B853B3">
        <w:rPr>
          <w:sz w:val="24"/>
          <w:szCs w:val="24"/>
        </w:rPr>
        <w:t>инф</w:t>
      </w:r>
      <w:r w:rsidR="00A4591E" w:rsidRPr="00B853B3">
        <w:rPr>
          <w:sz w:val="24"/>
          <w:szCs w:val="24"/>
        </w:rPr>
        <w:t>л</w:t>
      </w:r>
      <w:proofErr w:type="spellEnd"/>
      <w:r w:rsidRPr="00B853B3">
        <w:rPr>
          <w:sz w:val="24"/>
          <w:szCs w:val="24"/>
        </w:rPr>
        <w:t xml:space="preserve"> –</w:t>
      </w:r>
      <w:r w:rsidR="00101B78" w:rsidRPr="00B853B3">
        <w:rPr>
          <w:sz w:val="24"/>
          <w:szCs w:val="24"/>
        </w:rPr>
        <w:t xml:space="preserve"> </w:t>
      </w:r>
      <w:r w:rsidRPr="00B853B3">
        <w:rPr>
          <w:sz w:val="28"/>
          <w:szCs w:val="28"/>
        </w:rPr>
        <w:t>уров</w:t>
      </w:r>
      <w:r w:rsidR="00FC1833" w:rsidRPr="00B853B3">
        <w:rPr>
          <w:sz w:val="28"/>
          <w:szCs w:val="28"/>
        </w:rPr>
        <w:t>е</w:t>
      </w:r>
      <w:r w:rsidRPr="00B853B3">
        <w:rPr>
          <w:sz w:val="28"/>
          <w:szCs w:val="28"/>
        </w:rPr>
        <w:t>н</w:t>
      </w:r>
      <w:r w:rsidR="00FC1833" w:rsidRPr="00B853B3">
        <w:rPr>
          <w:sz w:val="28"/>
          <w:szCs w:val="28"/>
        </w:rPr>
        <w:t>ь</w:t>
      </w:r>
      <w:r w:rsidR="00B85EE9" w:rsidRPr="00B853B3">
        <w:rPr>
          <w:sz w:val="28"/>
          <w:szCs w:val="28"/>
        </w:rPr>
        <w:t xml:space="preserve"> инфляции</w:t>
      </w:r>
      <w:r w:rsidR="00A54041">
        <w:rPr>
          <w:sz w:val="28"/>
          <w:szCs w:val="28"/>
        </w:rPr>
        <w:t xml:space="preserve"> на текущий год</w:t>
      </w:r>
      <w:r w:rsidR="00A60E36" w:rsidRPr="00B853B3">
        <w:rPr>
          <w:sz w:val="28"/>
          <w:szCs w:val="28"/>
        </w:rPr>
        <w:t>.</w:t>
      </w:r>
      <w:r w:rsidRPr="00B853B3">
        <w:rPr>
          <w:sz w:val="28"/>
          <w:szCs w:val="28"/>
        </w:rPr>
        <w:t xml:space="preserve"> </w:t>
      </w:r>
    </w:p>
    <w:p w:rsidR="00B85EE9" w:rsidRDefault="00B85EE9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85EE9">
        <w:rPr>
          <w:sz w:val="28"/>
          <w:szCs w:val="28"/>
        </w:rPr>
        <w:t xml:space="preserve">ровень инфляции </w:t>
      </w:r>
      <w:r>
        <w:rPr>
          <w:sz w:val="28"/>
          <w:szCs w:val="28"/>
        </w:rPr>
        <w:t xml:space="preserve">устанавливается </w:t>
      </w:r>
      <w:r w:rsidRPr="00B85EE9">
        <w:rPr>
          <w:sz w:val="28"/>
          <w:szCs w:val="28"/>
        </w:rPr>
        <w:t>в соответствии со сценарными условиями, основными параметрами прогноза социально-экономического развития Российской Федерации и прогнозируемыми изменениями ц</w:t>
      </w:r>
      <w:r w:rsidR="0000499F">
        <w:rPr>
          <w:sz w:val="28"/>
          <w:szCs w:val="28"/>
        </w:rPr>
        <w:t xml:space="preserve">ен (тарифов) на товары, услуги </w:t>
      </w:r>
      <w:r w:rsidRPr="00B85EE9">
        <w:rPr>
          <w:sz w:val="28"/>
          <w:szCs w:val="28"/>
        </w:rPr>
        <w:t>хозяйствующих субъектов, осуществляющих регулируемые виды деятельности на</w:t>
      </w:r>
      <w:r>
        <w:rPr>
          <w:sz w:val="28"/>
          <w:szCs w:val="28"/>
        </w:rPr>
        <w:t xml:space="preserve"> очередной финансовый год.</w:t>
      </w:r>
    </w:p>
    <w:p w:rsidR="00A54041" w:rsidRDefault="006158B4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1546F">
        <w:rPr>
          <w:sz w:val="28"/>
          <w:szCs w:val="28"/>
        </w:rPr>
        <w:t>оэффициент сложности управления</w:t>
      </w:r>
      <w:r w:rsidR="00A54041">
        <w:rPr>
          <w:sz w:val="28"/>
          <w:szCs w:val="28"/>
        </w:rPr>
        <w:t xml:space="preserve"> </w:t>
      </w:r>
      <w:r w:rsidR="00A54041" w:rsidRPr="00A1546F">
        <w:rPr>
          <w:b/>
          <w:sz w:val="28"/>
          <w:szCs w:val="28"/>
        </w:rPr>
        <w:t>–</w:t>
      </w:r>
      <w:r w:rsidR="00A54041" w:rsidRPr="00A1546F">
        <w:rPr>
          <w:sz w:val="28"/>
          <w:szCs w:val="28"/>
        </w:rPr>
        <w:t xml:space="preserve"> </w:t>
      </w:r>
      <w:r w:rsidR="00A54041">
        <w:rPr>
          <w:sz w:val="28"/>
          <w:szCs w:val="28"/>
        </w:rPr>
        <w:t>показатель, определяющий с</w:t>
      </w:r>
      <w:r w:rsidR="00A54041" w:rsidRPr="00A1546F">
        <w:rPr>
          <w:sz w:val="28"/>
          <w:szCs w:val="28"/>
        </w:rPr>
        <w:t xml:space="preserve">ложности труда и масштаба управления, исходя из </w:t>
      </w:r>
      <w:r w:rsidR="00A54041" w:rsidRPr="00A1546F">
        <w:rPr>
          <w:sz w:val="28"/>
          <w:szCs w:val="28"/>
          <w:shd w:val="clear" w:color="auto" w:fill="FFFFFF"/>
        </w:rPr>
        <w:t>среднесписочной</w:t>
      </w:r>
      <w:r w:rsidR="00A54041" w:rsidRPr="00A1546F">
        <w:rPr>
          <w:sz w:val="28"/>
          <w:szCs w:val="28"/>
        </w:rPr>
        <w:t xml:space="preserve"> чис</w:t>
      </w:r>
      <w:r w:rsidR="00A54041">
        <w:rPr>
          <w:sz w:val="28"/>
          <w:szCs w:val="28"/>
        </w:rPr>
        <w:t>ленности работников Предприятия</w:t>
      </w:r>
      <w:r w:rsidR="00A23865">
        <w:rPr>
          <w:sz w:val="28"/>
          <w:szCs w:val="28"/>
        </w:rPr>
        <w:t>.</w:t>
      </w:r>
    </w:p>
    <w:p w:rsidR="00A45891" w:rsidRPr="00A54041" w:rsidRDefault="00AF1CF1" w:rsidP="008F57C1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</w:rPr>
      </w:pPr>
      <w:r w:rsidRPr="00A54041">
        <w:rPr>
          <w:sz w:val="28"/>
          <w:szCs w:val="28"/>
        </w:rPr>
        <w:t>Таблица № 1</w:t>
      </w:r>
    </w:p>
    <w:tbl>
      <w:tblPr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1"/>
        <w:gridCol w:w="4713"/>
      </w:tblGrid>
      <w:tr w:rsidR="00A45891" w:rsidRPr="00A1546F" w:rsidTr="009732DE">
        <w:trPr>
          <w:trHeight w:val="384"/>
          <w:tblHeader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F93BFA">
            <w:pPr>
              <w:jc w:val="center"/>
              <w:rPr>
                <w:sz w:val="26"/>
                <w:szCs w:val="26"/>
              </w:rPr>
            </w:pPr>
            <w:r w:rsidRPr="00A1546F">
              <w:rPr>
                <w:bCs/>
                <w:sz w:val="26"/>
                <w:szCs w:val="26"/>
              </w:rPr>
              <w:t>Среднесписочная численность  работников, чел.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54041">
            <w:pPr>
              <w:jc w:val="center"/>
              <w:rPr>
                <w:sz w:val="26"/>
                <w:szCs w:val="26"/>
              </w:rPr>
            </w:pPr>
            <w:r w:rsidRPr="00A1546F">
              <w:rPr>
                <w:bCs/>
                <w:sz w:val="26"/>
                <w:szCs w:val="26"/>
              </w:rPr>
              <w:t xml:space="preserve">Значение коэффициента </w:t>
            </w:r>
            <w:r w:rsidRPr="00A1546F">
              <w:rPr>
                <w:sz w:val="26"/>
                <w:szCs w:val="26"/>
              </w:rPr>
              <w:t xml:space="preserve">сложности </w:t>
            </w:r>
            <w:r w:rsidRPr="00A1546F">
              <w:rPr>
                <w:bCs/>
                <w:sz w:val="26"/>
                <w:szCs w:val="26"/>
              </w:rPr>
              <w:t>(</w:t>
            </w:r>
            <w:proofErr w:type="spellStart"/>
            <w:r w:rsidRPr="00A1546F">
              <w:rPr>
                <w:bCs/>
                <w:sz w:val="26"/>
                <w:szCs w:val="26"/>
              </w:rPr>
              <w:t>Кчисл</w:t>
            </w:r>
            <w:proofErr w:type="spellEnd"/>
            <w:r w:rsidRPr="00A1546F">
              <w:rPr>
                <w:bCs/>
                <w:sz w:val="26"/>
                <w:szCs w:val="26"/>
              </w:rPr>
              <w:t>)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до 50</w:t>
            </w:r>
          </w:p>
        </w:tc>
        <w:tc>
          <w:tcPr>
            <w:tcW w:w="4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1,2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51 до 100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1,3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101 до 150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1,4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151 до 200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1,5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201 до 250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1,6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251 до 300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1,7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301 до 350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1,8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351 до 400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1,9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401 до 450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2,0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451 до 500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2,1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501 до 550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2,2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551 до 1000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2,3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lastRenderedPageBreak/>
              <w:t>от 1001 до 1500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2,4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1501 до 2000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2,5</w:t>
            </w:r>
          </w:p>
        </w:tc>
      </w:tr>
      <w:tr w:rsidR="00A45891" w:rsidRPr="00A1546F" w:rsidTr="009732DE">
        <w:trPr>
          <w:trHeight w:val="38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от 2001 до 2500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891" w:rsidRPr="00A1546F" w:rsidRDefault="00A45891" w:rsidP="00A45891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A1546F">
              <w:rPr>
                <w:sz w:val="26"/>
                <w:szCs w:val="26"/>
              </w:rPr>
              <w:t>2,6</w:t>
            </w:r>
          </w:p>
        </w:tc>
      </w:tr>
    </w:tbl>
    <w:p w:rsidR="00A45891" w:rsidRPr="00A1546F" w:rsidRDefault="00A45891" w:rsidP="008F57C1">
      <w:pPr>
        <w:pStyle w:val="ConsPlusTitle"/>
        <w:widowControl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p w:rsidR="00A54041" w:rsidRDefault="00A54041" w:rsidP="00B90EE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1546F">
        <w:rPr>
          <w:sz w:val="28"/>
          <w:szCs w:val="28"/>
        </w:rPr>
        <w:t xml:space="preserve">оэффициент </w:t>
      </w:r>
      <w:r>
        <w:rPr>
          <w:sz w:val="28"/>
          <w:szCs w:val="28"/>
        </w:rPr>
        <w:t>сферы деятельности -</w:t>
      </w:r>
      <w:r w:rsidRPr="00A1546F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показатель, характеризующий особе</w:t>
      </w:r>
      <w:r w:rsidR="00403DB3">
        <w:rPr>
          <w:sz w:val="28"/>
          <w:szCs w:val="28"/>
        </w:rPr>
        <w:t>нности деятельности Предприятия</w:t>
      </w:r>
      <w:r w:rsidR="00B90EE0">
        <w:rPr>
          <w:sz w:val="28"/>
          <w:szCs w:val="28"/>
        </w:rPr>
        <w:t xml:space="preserve"> </w:t>
      </w:r>
      <w:r>
        <w:rPr>
          <w:sz w:val="28"/>
          <w:szCs w:val="28"/>
        </w:rPr>
        <w:t>по виду хозяйственной деятельности</w:t>
      </w:r>
      <w:r w:rsidR="00403DB3">
        <w:rPr>
          <w:sz w:val="28"/>
          <w:szCs w:val="28"/>
        </w:rPr>
        <w:t xml:space="preserve"> (</w:t>
      </w:r>
      <w:r>
        <w:rPr>
          <w:sz w:val="28"/>
          <w:szCs w:val="28"/>
        </w:rPr>
        <w:t>производственные предприятия, предприятия по оказанию услуг</w:t>
      </w:r>
      <w:r w:rsidR="00403DB3">
        <w:rPr>
          <w:sz w:val="28"/>
          <w:szCs w:val="28"/>
        </w:rPr>
        <w:t>), а также принима</w:t>
      </w:r>
      <w:r w:rsidR="00F805B4">
        <w:rPr>
          <w:sz w:val="28"/>
          <w:szCs w:val="28"/>
        </w:rPr>
        <w:t>ющий в расчет</w:t>
      </w:r>
      <w:r w:rsidR="00403DB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 проведении предпусковых и пусковых работ на стартовых комплексах космодрома «Байконур»</w:t>
      </w:r>
      <w:r w:rsidR="009732DE">
        <w:rPr>
          <w:sz w:val="28"/>
          <w:szCs w:val="28"/>
        </w:rPr>
        <w:t>,</w:t>
      </w:r>
      <w:r w:rsidR="00B90EE0">
        <w:rPr>
          <w:sz w:val="28"/>
          <w:szCs w:val="28"/>
        </w:rPr>
        <w:t xml:space="preserve"> </w:t>
      </w:r>
      <w:r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>эксплуатаци</w:t>
      </w:r>
      <w:r w:rsidR="00403DB3"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>ю</w:t>
      </w:r>
      <w:r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 xml:space="preserve"> сложного оборудования</w:t>
      </w:r>
      <w:r w:rsidR="009732DE"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>,</w:t>
      </w:r>
      <w:r w:rsidR="00B90EE0">
        <w:rPr>
          <w:rStyle w:val="af1"/>
          <w:i w:val="0"/>
          <w:iCs w:val="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эксплуатаци</w:t>
      </w:r>
      <w:r w:rsidR="00403DB3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опасных производственных объектов</w:t>
      </w:r>
      <w:r w:rsidR="009732DE">
        <w:rPr>
          <w:rFonts w:eastAsia="Calibri"/>
          <w:sz w:val="28"/>
          <w:szCs w:val="28"/>
          <w:lang w:eastAsia="en-US"/>
        </w:rPr>
        <w:t>,</w:t>
      </w:r>
      <w:r w:rsidR="00B90EE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</w:t>
      </w:r>
      <w:r w:rsidR="00B90EE0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специалистов высокой квалификации от общей численности работников</w:t>
      </w:r>
      <w:r w:rsidR="009732DE">
        <w:rPr>
          <w:rFonts w:eastAsia="Calibri"/>
          <w:sz w:val="28"/>
          <w:szCs w:val="28"/>
          <w:lang w:eastAsia="en-US"/>
        </w:rPr>
        <w:t>,</w:t>
      </w:r>
      <w:r w:rsidR="00B90EE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конфиденциальность и защит</w:t>
      </w:r>
      <w:r w:rsidR="00403DB3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 персональных данных</w:t>
      </w:r>
      <w:r w:rsidR="009732DE">
        <w:rPr>
          <w:rFonts w:eastAsia="Calibri"/>
          <w:sz w:val="28"/>
          <w:szCs w:val="28"/>
          <w:lang w:eastAsia="en-US"/>
        </w:rPr>
        <w:t>,</w:t>
      </w:r>
      <w:r w:rsidR="00B90EE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разветвленно</w:t>
      </w:r>
      <w:r w:rsidR="00A23865">
        <w:rPr>
          <w:rFonts w:eastAsia="Calibri"/>
          <w:sz w:val="28"/>
          <w:szCs w:val="28"/>
          <w:lang w:eastAsia="en-US"/>
        </w:rPr>
        <w:t>сть</w:t>
      </w:r>
      <w:r>
        <w:rPr>
          <w:rFonts w:eastAsia="Calibri"/>
          <w:sz w:val="28"/>
          <w:szCs w:val="28"/>
          <w:lang w:eastAsia="en-US"/>
        </w:rPr>
        <w:t xml:space="preserve"> сети существующих подземных и наземных коммуникаций</w:t>
      </w:r>
      <w:r w:rsidR="009732DE">
        <w:rPr>
          <w:rFonts w:eastAsia="Calibri"/>
          <w:sz w:val="28"/>
          <w:szCs w:val="28"/>
          <w:lang w:eastAsia="en-US"/>
        </w:rPr>
        <w:t>,</w:t>
      </w:r>
      <w:r w:rsidR="00B90EE0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высокий удельный вес морально устаревшего и физически изношенного оборудования</w:t>
      </w:r>
      <w:r w:rsidR="009732DE">
        <w:rPr>
          <w:sz w:val="28"/>
          <w:szCs w:val="28"/>
          <w:shd w:val="clear" w:color="auto" w:fill="FFFFFF"/>
        </w:rPr>
        <w:t>,</w:t>
      </w:r>
      <w:r w:rsidR="00B90EE0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предоставление социально – значимых услуг для организаций образования и здравоохранения (дети, больные)</w:t>
      </w:r>
      <w:r w:rsidR="009732DE">
        <w:rPr>
          <w:sz w:val="28"/>
          <w:szCs w:val="28"/>
          <w:shd w:val="clear" w:color="auto" w:fill="FFFFFF"/>
        </w:rPr>
        <w:t>,</w:t>
      </w:r>
      <w:r w:rsidR="00B90EE0">
        <w:rPr>
          <w:sz w:val="28"/>
          <w:szCs w:val="28"/>
        </w:rPr>
        <w:t xml:space="preserve"> </w:t>
      </w:r>
      <w:r>
        <w:rPr>
          <w:sz w:val="28"/>
          <w:szCs w:val="28"/>
        </w:rPr>
        <w:t>диверсификаци</w:t>
      </w:r>
      <w:r w:rsidR="00403DB3">
        <w:rPr>
          <w:sz w:val="28"/>
          <w:szCs w:val="28"/>
        </w:rPr>
        <w:t>ю</w:t>
      </w:r>
      <w:r>
        <w:rPr>
          <w:sz w:val="28"/>
          <w:szCs w:val="28"/>
        </w:rPr>
        <w:t xml:space="preserve"> экономики города.</w:t>
      </w:r>
    </w:p>
    <w:p w:rsidR="00AF1CF1" w:rsidRPr="00A1546F" w:rsidRDefault="00AF1CF1" w:rsidP="008F57C1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4"/>
          <w:szCs w:val="24"/>
        </w:rPr>
      </w:pPr>
      <w:r w:rsidRPr="00A1546F">
        <w:rPr>
          <w:sz w:val="24"/>
          <w:szCs w:val="24"/>
        </w:rPr>
        <w:t>Таблица №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842"/>
      </w:tblGrid>
      <w:tr w:rsidR="00A1546F" w:rsidRPr="00A1546F" w:rsidTr="00A23865">
        <w:tc>
          <w:tcPr>
            <w:tcW w:w="7797" w:type="dxa"/>
            <w:shd w:val="clear" w:color="auto" w:fill="auto"/>
            <w:vAlign w:val="center"/>
          </w:tcPr>
          <w:p w:rsidR="00A45891" w:rsidRPr="00A1546F" w:rsidRDefault="00A45891" w:rsidP="00A1546F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Сфера деятельности предприятия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891" w:rsidRPr="00A1546F" w:rsidRDefault="00A45891" w:rsidP="00A1546F">
            <w:pPr>
              <w:pStyle w:val="21"/>
              <w:tabs>
                <w:tab w:val="num" w:leader="none" w:pos="0"/>
                <w:tab w:val="left" w:pos="1418"/>
              </w:tabs>
              <w:rPr>
                <w:color w:val="auto"/>
                <w:sz w:val="26"/>
                <w:szCs w:val="26"/>
              </w:rPr>
            </w:pPr>
            <w:r w:rsidRPr="00A1546F">
              <w:rPr>
                <w:bCs/>
                <w:color w:val="auto"/>
                <w:sz w:val="26"/>
                <w:szCs w:val="26"/>
              </w:rPr>
              <w:t>Значение коэффициента (</w:t>
            </w:r>
            <w:proofErr w:type="spellStart"/>
            <w:r w:rsidRPr="00A1546F">
              <w:rPr>
                <w:color w:val="auto"/>
                <w:sz w:val="26"/>
                <w:szCs w:val="26"/>
              </w:rPr>
              <w:t>Кдеят</w:t>
            </w:r>
            <w:proofErr w:type="spellEnd"/>
            <w:r w:rsidRPr="00A1546F">
              <w:rPr>
                <w:color w:val="auto"/>
                <w:sz w:val="26"/>
                <w:szCs w:val="26"/>
              </w:rPr>
              <w:t>)</w:t>
            </w:r>
          </w:p>
        </w:tc>
      </w:tr>
      <w:tr w:rsidR="00A45891" w:rsidRPr="00A1546F" w:rsidTr="00A23865">
        <w:tc>
          <w:tcPr>
            <w:tcW w:w="7797" w:type="dxa"/>
            <w:shd w:val="clear" w:color="auto" w:fill="auto"/>
          </w:tcPr>
          <w:p w:rsidR="00A45891" w:rsidRPr="00A1546F" w:rsidRDefault="00A45891" w:rsidP="00BC7ACD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Эксплуатация коммунальной инфраструктуры (теплоснабжение, газоснабжение, водоснабжение и водоотведение, очистка сточных вод), эксплуатация объектов элект</w:t>
            </w:r>
            <w:r w:rsidR="007D1899" w:rsidRPr="00A1546F">
              <w:rPr>
                <w:color w:val="auto"/>
                <w:sz w:val="26"/>
                <w:szCs w:val="26"/>
              </w:rPr>
              <w:t xml:space="preserve">роэнергетики и оказание услуг в </w:t>
            </w:r>
            <w:r w:rsidRPr="00A1546F">
              <w:rPr>
                <w:color w:val="auto"/>
                <w:sz w:val="26"/>
                <w:szCs w:val="26"/>
              </w:rPr>
              <w:t xml:space="preserve">соответствующей сфере. </w:t>
            </w:r>
          </w:p>
        </w:tc>
        <w:tc>
          <w:tcPr>
            <w:tcW w:w="1842" w:type="dxa"/>
            <w:shd w:val="clear" w:color="auto" w:fill="auto"/>
          </w:tcPr>
          <w:p w:rsidR="00A45891" w:rsidRPr="00A1546F" w:rsidRDefault="00A45891" w:rsidP="00A4589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A45891" w:rsidRPr="00A1546F" w:rsidRDefault="00A45891" w:rsidP="00A4589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1,9</w:t>
            </w:r>
          </w:p>
          <w:p w:rsidR="007D1899" w:rsidRPr="00A1546F" w:rsidRDefault="007D1899" w:rsidP="00A4589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BC7ACD" w:rsidRPr="00A1546F" w:rsidTr="00A23865">
        <w:tc>
          <w:tcPr>
            <w:tcW w:w="7797" w:type="dxa"/>
            <w:shd w:val="clear" w:color="auto" w:fill="auto"/>
          </w:tcPr>
          <w:p w:rsidR="00BC7ACD" w:rsidRPr="00A1546F" w:rsidRDefault="00BC7ACD" w:rsidP="00BC7ACD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7E6780">
              <w:rPr>
                <w:color w:val="auto"/>
                <w:sz w:val="26"/>
                <w:szCs w:val="26"/>
              </w:rPr>
              <w:t>Почта, телефонная и телеграфная связь, интернет, телерадиовещание, видеонаблюдение за периметром города, центр оплаты за жилищно-коммунальные услуги населению</w:t>
            </w:r>
            <w:r w:rsidR="00A2386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C7ACD" w:rsidRPr="00A1546F" w:rsidRDefault="00BC7ACD" w:rsidP="00547A80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BC7ACD" w:rsidRPr="00A1546F" w:rsidRDefault="00BC7ACD" w:rsidP="00547A80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1,9</w:t>
            </w:r>
          </w:p>
          <w:p w:rsidR="00BC7ACD" w:rsidRPr="00A1546F" w:rsidRDefault="00BC7ACD" w:rsidP="00547A80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</w:tc>
      </w:tr>
      <w:tr w:rsidR="00AF1CF1" w:rsidRPr="00A1546F" w:rsidTr="00A23865">
        <w:tc>
          <w:tcPr>
            <w:tcW w:w="7797" w:type="dxa"/>
            <w:shd w:val="clear" w:color="auto" w:fill="auto"/>
          </w:tcPr>
          <w:p w:rsidR="00AF1CF1" w:rsidRPr="00A1546F" w:rsidRDefault="00AF1CF1" w:rsidP="00A4589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Жилищно-коммунальное хозяйство.</w:t>
            </w:r>
            <w:r w:rsidR="007D1899" w:rsidRPr="00A1546F">
              <w:rPr>
                <w:color w:val="auto"/>
                <w:sz w:val="26"/>
                <w:szCs w:val="26"/>
              </w:rPr>
              <w:t xml:space="preserve"> Благоустройство, санитарная очистка, эксплуатация и ремонт дорожного хозяйства, полигоны захоронения твердых и бытовых отходов.</w:t>
            </w:r>
          </w:p>
        </w:tc>
        <w:tc>
          <w:tcPr>
            <w:tcW w:w="1842" w:type="dxa"/>
            <w:shd w:val="clear" w:color="auto" w:fill="auto"/>
          </w:tcPr>
          <w:p w:rsidR="00AF1CF1" w:rsidRPr="00A1546F" w:rsidRDefault="00AF1CF1" w:rsidP="00A45891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7D1899" w:rsidRPr="00A1546F" w:rsidRDefault="007D1899" w:rsidP="00BC7ACD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1,</w:t>
            </w:r>
            <w:r w:rsidR="00BC7ACD">
              <w:rPr>
                <w:color w:val="auto"/>
                <w:sz w:val="26"/>
                <w:szCs w:val="26"/>
              </w:rPr>
              <w:t>9</w:t>
            </w:r>
          </w:p>
        </w:tc>
      </w:tr>
      <w:tr w:rsidR="007D1899" w:rsidRPr="00A1546F" w:rsidTr="00A23865">
        <w:tc>
          <w:tcPr>
            <w:tcW w:w="7797" w:type="dxa"/>
            <w:shd w:val="clear" w:color="auto" w:fill="auto"/>
          </w:tcPr>
          <w:p w:rsidR="007D1899" w:rsidRPr="00A1546F" w:rsidRDefault="007D1899" w:rsidP="007D1899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jc w:val="left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Оптовая и розничная торговля. Гостиничное хозяйство, общественное питание, прочие коммунальные услуги</w:t>
            </w:r>
            <w:r w:rsidR="00A2386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D1899" w:rsidRPr="00A1546F" w:rsidRDefault="007D1899" w:rsidP="007D1899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</w:p>
          <w:p w:rsidR="007D1899" w:rsidRPr="00A1546F" w:rsidRDefault="007D1899" w:rsidP="007D1899">
            <w:pPr>
              <w:pStyle w:val="21"/>
              <w:tabs>
                <w:tab w:val="num" w:leader="none" w:pos="0"/>
                <w:tab w:val="left" w:pos="1418"/>
              </w:tabs>
              <w:spacing w:line="276" w:lineRule="auto"/>
              <w:rPr>
                <w:color w:val="auto"/>
                <w:sz w:val="26"/>
                <w:szCs w:val="26"/>
              </w:rPr>
            </w:pPr>
            <w:r w:rsidRPr="00A1546F">
              <w:rPr>
                <w:color w:val="auto"/>
                <w:sz w:val="26"/>
                <w:szCs w:val="26"/>
              </w:rPr>
              <w:t>1,4</w:t>
            </w:r>
          </w:p>
        </w:tc>
      </w:tr>
    </w:tbl>
    <w:p w:rsidR="0000499F" w:rsidRPr="0000499F" w:rsidRDefault="0000499F" w:rsidP="00B90EE0">
      <w:pPr>
        <w:autoSpaceDE w:val="0"/>
        <w:autoSpaceDN w:val="0"/>
        <w:adjustRightInd w:val="0"/>
        <w:spacing w:line="276" w:lineRule="auto"/>
        <w:ind w:firstLine="720"/>
        <w:jc w:val="right"/>
        <w:rPr>
          <w:sz w:val="28"/>
          <w:szCs w:val="28"/>
        </w:rPr>
      </w:pPr>
      <w:r w:rsidRPr="00A1546F">
        <w:rPr>
          <w:sz w:val="28"/>
        </w:rPr>
        <w:t>».</w:t>
      </w:r>
    </w:p>
    <w:p w:rsidR="00322D40" w:rsidRDefault="0000499F" w:rsidP="008F57C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A1546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1546F">
        <w:rPr>
          <w:sz w:val="28"/>
          <w:szCs w:val="28"/>
        </w:rPr>
        <w:t xml:space="preserve">. </w:t>
      </w:r>
      <w:r w:rsidR="00C07F66" w:rsidRPr="00C07F66">
        <w:rPr>
          <w:sz w:val="28"/>
          <w:szCs w:val="28"/>
        </w:rPr>
        <w:t>А</w:t>
      </w:r>
      <w:r w:rsidR="00C07F66">
        <w:rPr>
          <w:sz w:val="28"/>
          <w:szCs w:val="28"/>
        </w:rPr>
        <w:t>бзац второй п</w:t>
      </w:r>
      <w:r w:rsidRPr="00A1546F">
        <w:rPr>
          <w:sz w:val="28"/>
          <w:szCs w:val="28"/>
        </w:rPr>
        <w:t>ункт</w:t>
      </w:r>
      <w:r w:rsidR="00403DB3">
        <w:rPr>
          <w:sz w:val="28"/>
          <w:szCs w:val="28"/>
        </w:rPr>
        <w:t>а</w:t>
      </w:r>
      <w:r w:rsidRPr="00A1546F">
        <w:rPr>
          <w:sz w:val="28"/>
          <w:szCs w:val="28"/>
        </w:rPr>
        <w:t xml:space="preserve"> 2.</w:t>
      </w:r>
      <w:r>
        <w:rPr>
          <w:sz w:val="28"/>
          <w:szCs w:val="28"/>
        </w:rPr>
        <w:t>3</w:t>
      </w:r>
      <w:r w:rsidRPr="00A1546F">
        <w:rPr>
          <w:sz w:val="28"/>
          <w:szCs w:val="28"/>
        </w:rPr>
        <w:t xml:space="preserve"> раздела 2 Положения </w:t>
      </w:r>
      <w:r w:rsidR="00322D40">
        <w:rPr>
          <w:sz w:val="28"/>
          <w:szCs w:val="28"/>
        </w:rPr>
        <w:t>изложить в следующей редакции:</w:t>
      </w:r>
    </w:p>
    <w:p w:rsidR="00C07F66" w:rsidRDefault="00322D40" w:rsidP="008F57C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«внесение изменений в порядок установления должностных окладов руководителей Предприятий, определенны</w:t>
      </w:r>
      <w:r w:rsidR="001C3FD0">
        <w:rPr>
          <w:sz w:val="28"/>
          <w:szCs w:val="28"/>
        </w:rPr>
        <w:t>й</w:t>
      </w:r>
      <w:r>
        <w:rPr>
          <w:sz w:val="28"/>
          <w:szCs w:val="28"/>
        </w:rPr>
        <w:t xml:space="preserve"> пунктом 2.2 Положения»</w:t>
      </w:r>
      <w:r w:rsidR="00C07F66">
        <w:rPr>
          <w:sz w:val="28"/>
          <w:szCs w:val="28"/>
        </w:rPr>
        <w:t>.</w:t>
      </w:r>
    </w:p>
    <w:p w:rsidR="00B90EE0" w:rsidRDefault="00B90EE0" w:rsidP="008F57C1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A1546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546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A1546F">
        <w:rPr>
          <w:sz w:val="28"/>
          <w:szCs w:val="28"/>
        </w:rPr>
        <w:t>ункт 2.</w:t>
      </w:r>
      <w:r>
        <w:rPr>
          <w:sz w:val="28"/>
          <w:szCs w:val="28"/>
        </w:rPr>
        <w:t>3</w:t>
      </w:r>
      <w:r w:rsidRPr="00A1546F">
        <w:rPr>
          <w:sz w:val="28"/>
          <w:szCs w:val="28"/>
        </w:rPr>
        <w:t xml:space="preserve"> раздела 2 Положения </w:t>
      </w:r>
      <w:r>
        <w:rPr>
          <w:sz w:val="28"/>
          <w:szCs w:val="28"/>
        </w:rPr>
        <w:t>дополнить новым</w:t>
      </w:r>
      <w:r w:rsidR="00322D40">
        <w:rPr>
          <w:sz w:val="28"/>
          <w:szCs w:val="28"/>
        </w:rPr>
        <w:t>и</w:t>
      </w:r>
      <w:r>
        <w:rPr>
          <w:sz w:val="28"/>
          <w:szCs w:val="28"/>
        </w:rPr>
        <w:t xml:space="preserve"> абзац</w:t>
      </w:r>
      <w:r w:rsidR="00322D40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322D40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p w:rsidR="00B90EE0" w:rsidRPr="001C3FD0" w:rsidRDefault="00B90EE0" w:rsidP="00B90EE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</w:rPr>
      </w:pPr>
      <w:r w:rsidRPr="001C3FD0">
        <w:rPr>
          <w:sz w:val="28"/>
          <w:szCs w:val="28"/>
        </w:rPr>
        <w:t>«В случае, когда п</w:t>
      </w:r>
      <w:r w:rsidRPr="001C3FD0">
        <w:rPr>
          <w:sz w:val="28"/>
          <w:szCs w:val="28"/>
          <w:shd w:val="clear" w:color="auto" w:fill="FFFFFF"/>
        </w:rPr>
        <w:t>редельный уровень соотношения среднемесячной заработной платы руководителя Предприятия, формируемой за счет                       всех источников финансового обеспечения, и среднемесячной заработной платы работников Предприятия (без учета заработной платы руководителя,                        его заместителей и главного бухгалтера Предприятия), рассчитываемой                       за календарный год, превышает уровень, установленный                                    пунктом 1.4 Положения, д</w:t>
      </w:r>
      <w:r w:rsidRPr="001C3FD0">
        <w:rPr>
          <w:sz w:val="28"/>
          <w:szCs w:val="28"/>
        </w:rPr>
        <w:t xml:space="preserve">олжностной оклад руководителя </w:t>
      </w:r>
      <w:r w:rsidRPr="001C3FD0">
        <w:rPr>
          <w:sz w:val="28"/>
          <w:szCs w:val="28"/>
          <w:shd w:val="clear" w:color="auto" w:fill="FFFFFF"/>
        </w:rPr>
        <w:t>Предприятия</w:t>
      </w:r>
      <w:r w:rsidRPr="001C3FD0">
        <w:rPr>
          <w:sz w:val="28"/>
          <w:szCs w:val="28"/>
        </w:rPr>
        <w:t xml:space="preserve"> не пересчитывается.</w:t>
      </w:r>
    </w:p>
    <w:p w:rsidR="00184DAC" w:rsidRPr="001C3FD0" w:rsidRDefault="00AC2F5A" w:rsidP="00184DA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C3FD0">
        <w:rPr>
          <w:sz w:val="28"/>
        </w:rPr>
        <w:t>В случае</w:t>
      </w:r>
      <w:r w:rsidR="007A65C5" w:rsidRPr="001C3FD0">
        <w:rPr>
          <w:sz w:val="28"/>
        </w:rPr>
        <w:t xml:space="preserve"> </w:t>
      </w:r>
      <w:r w:rsidR="00184DAC" w:rsidRPr="001C3FD0">
        <w:rPr>
          <w:sz w:val="28"/>
        </w:rPr>
        <w:t xml:space="preserve">уменьшения </w:t>
      </w:r>
      <w:r w:rsidR="00184DAC" w:rsidRPr="001C3FD0">
        <w:rPr>
          <w:sz w:val="28"/>
          <w:szCs w:val="28"/>
        </w:rPr>
        <w:t>р</w:t>
      </w:r>
      <w:r w:rsidR="008A1052" w:rsidRPr="001C3FD0">
        <w:rPr>
          <w:sz w:val="28"/>
          <w:szCs w:val="28"/>
        </w:rPr>
        <w:t>азмер</w:t>
      </w:r>
      <w:r w:rsidR="00184DAC" w:rsidRPr="001C3FD0">
        <w:rPr>
          <w:sz w:val="28"/>
          <w:szCs w:val="28"/>
        </w:rPr>
        <w:t>а</w:t>
      </w:r>
      <w:r w:rsidR="008A1052" w:rsidRPr="001C3FD0">
        <w:rPr>
          <w:sz w:val="28"/>
          <w:szCs w:val="28"/>
        </w:rPr>
        <w:t xml:space="preserve"> должностного оклада</w:t>
      </w:r>
      <w:r w:rsidR="00184DAC" w:rsidRPr="001C3FD0">
        <w:rPr>
          <w:sz w:val="28"/>
          <w:szCs w:val="28"/>
        </w:rPr>
        <w:t xml:space="preserve"> руководителя Предприятия</w:t>
      </w:r>
      <w:r w:rsidR="00EC1CEE" w:rsidRPr="001C3FD0">
        <w:rPr>
          <w:sz w:val="28"/>
          <w:szCs w:val="28"/>
        </w:rPr>
        <w:t xml:space="preserve">, при </w:t>
      </w:r>
      <w:r w:rsidR="00184DAC" w:rsidRPr="001C3FD0">
        <w:rPr>
          <w:sz w:val="28"/>
          <w:szCs w:val="28"/>
        </w:rPr>
        <w:t>условии сохранения</w:t>
      </w:r>
      <w:r w:rsidR="008A1052" w:rsidRPr="001C3FD0">
        <w:rPr>
          <w:sz w:val="28"/>
          <w:szCs w:val="28"/>
        </w:rPr>
        <w:t xml:space="preserve"> </w:t>
      </w:r>
      <w:r w:rsidR="00184DAC" w:rsidRPr="001C3FD0">
        <w:rPr>
          <w:sz w:val="28"/>
          <w:szCs w:val="28"/>
        </w:rPr>
        <w:t>коэффициента сложности управления и коэффициент</w:t>
      </w:r>
      <w:r w:rsidR="00EC1CEE" w:rsidRPr="001C3FD0">
        <w:rPr>
          <w:sz w:val="28"/>
          <w:szCs w:val="28"/>
        </w:rPr>
        <w:t>а</w:t>
      </w:r>
      <w:r w:rsidR="00184DAC" w:rsidRPr="001C3FD0">
        <w:rPr>
          <w:sz w:val="28"/>
          <w:szCs w:val="28"/>
        </w:rPr>
        <w:t xml:space="preserve"> сферы деятельности Предприятия</w:t>
      </w:r>
      <w:r w:rsidR="00EC1CEE" w:rsidRPr="001C3FD0">
        <w:rPr>
          <w:sz w:val="28"/>
          <w:szCs w:val="28"/>
        </w:rPr>
        <w:t>,</w:t>
      </w:r>
      <w:r w:rsidR="00EC1CEE" w:rsidRPr="001C3FD0">
        <w:rPr>
          <w:sz w:val="28"/>
          <w:szCs w:val="28"/>
          <w:shd w:val="clear" w:color="auto" w:fill="FFFFFF"/>
        </w:rPr>
        <w:t xml:space="preserve"> д</w:t>
      </w:r>
      <w:r w:rsidR="00EC1CEE" w:rsidRPr="001C3FD0">
        <w:rPr>
          <w:sz w:val="28"/>
          <w:szCs w:val="28"/>
        </w:rPr>
        <w:t xml:space="preserve">олжностной оклад руководителя </w:t>
      </w:r>
      <w:r w:rsidR="00EC1CEE" w:rsidRPr="001C3FD0">
        <w:rPr>
          <w:sz w:val="28"/>
          <w:szCs w:val="28"/>
          <w:shd w:val="clear" w:color="auto" w:fill="FFFFFF"/>
        </w:rPr>
        <w:t>Предприятия сохраняется на прежнем уровне</w:t>
      </w:r>
      <w:r w:rsidR="00184DAC" w:rsidRPr="001C3FD0">
        <w:rPr>
          <w:sz w:val="28"/>
          <w:szCs w:val="28"/>
        </w:rPr>
        <w:t>.</w:t>
      </w:r>
      <w:r w:rsidR="001C3FD0" w:rsidRPr="001C3FD0">
        <w:rPr>
          <w:sz w:val="28"/>
          <w:szCs w:val="28"/>
        </w:rPr>
        <w:t>»</w:t>
      </w:r>
      <w:r w:rsidR="00D558E2">
        <w:rPr>
          <w:sz w:val="28"/>
          <w:szCs w:val="28"/>
        </w:rPr>
        <w:t>.</w:t>
      </w:r>
    </w:p>
    <w:p w:rsidR="00D62443" w:rsidRPr="00A1546F" w:rsidRDefault="00D62443" w:rsidP="008F57C1">
      <w:pPr>
        <w:spacing w:line="276" w:lineRule="auto"/>
        <w:ind w:firstLine="720"/>
        <w:jc w:val="both"/>
        <w:rPr>
          <w:sz w:val="28"/>
        </w:rPr>
      </w:pPr>
      <w:r w:rsidRPr="0000499F">
        <w:rPr>
          <w:sz w:val="28"/>
        </w:rPr>
        <w:t>1.</w:t>
      </w:r>
      <w:r w:rsidR="00B90EE0">
        <w:rPr>
          <w:sz w:val="28"/>
        </w:rPr>
        <w:t>4</w:t>
      </w:r>
      <w:r w:rsidRPr="0000499F">
        <w:rPr>
          <w:sz w:val="28"/>
        </w:rPr>
        <w:t xml:space="preserve">. Абзац второй </w:t>
      </w:r>
      <w:r w:rsidR="00005BC5" w:rsidRPr="0000499F">
        <w:rPr>
          <w:sz w:val="28"/>
        </w:rPr>
        <w:t>под</w:t>
      </w:r>
      <w:r w:rsidRPr="0000499F">
        <w:rPr>
          <w:sz w:val="28"/>
        </w:rPr>
        <w:t xml:space="preserve">пункта 4.2.2 </w:t>
      </w:r>
      <w:r w:rsidR="00005BC5" w:rsidRPr="0000499F">
        <w:rPr>
          <w:spacing w:val="2"/>
          <w:sz w:val="28"/>
          <w:szCs w:val="28"/>
        </w:rPr>
        <w:t xml:space="preserve">пункта 4.2 </w:t>
      </w:r>
      <w:r w:rsidRPr="0000499F">
        <w:rPr>
          <w:sz w:val="28"/>
        </w:rPr>
        <w:t>раздела 4 Положения</w:t>
      </w:r>
      <w:r w:rsidRPr="00A1546F">
        <w:rPr>
          <w:sz w:val="28"/>
        </w:rPr>
        <w:t xml:space="preserve"> изложить в следующей редакции:</w:t>
      </w:r>
    </w:p>
    <w:p w:rsidR="00D62443" w:rsidRPr="00A1546F" w:rsidRDefault="00D62443" w:rsidP="008F57C1">
      <w:pPr>
        <w:autoSpaceDE w:val="0"/>
        <w:autoSpaceDN w:val="0"/>
        <w:adjustRightInd w:val="0"/>
        <w:spacing w:line="276" w:lineRule="auto"/>
        <w:ind w:firstLine="720"/>
        <w:jc w:val="both"/>
        <w:rPr>
          <w:spacing w:val="2"/>
          <w:sz w:val="28"/>
          <w:szCs w:val="28"/>
        </w:rPr>
      </w:pPr>
      <w:r w:rsidRPr="00A1546F">
        <w:rPr>
          <w:sz w:val="28"/>
        </w:rPr>
        <w:t>«</w:t>
      </w:r>
      <w:r w:rsidRPr="00A1546F">
        <w:rPr>
          <w:sz w:val="28"/>
          <w:szCs w:val="28"/>
        </w:rPr>
        <w:t xml:space="preserve">Заместители Главы администрации, курирующие деятельность Предприятий, не позднее 10 декабря текущего года готовят ходатайства </w:t>
      </w:r>
      <w:r w:rsidR="00C07F66">
        <w:rPr>
          <w:sz w:val="28"/>
          <w:szCs w:val="28"/>
        </w:rPr>
        <w:t xml:space="preserve">                    </w:t>
      </w:r>
      <w:r w:rsidRPr="00A1546F">
        <w:rPr>
          <w:sz w:val="28"/>
          <w:szCs w:val="28"/>
        </w:rPr>
        <w:t xml:space="preserve">об установлении надбавки </w:t>
      </w:r>
      <w:r w:rsidRPr="00A1546F">
        <w:rPr>
          <w:spacing w:val="2"/>
          <w:sz w:val="28"/>
          <w:szCs w:val="28"/>
        </w:rPr>
        <w:t>за интенсивность</w:t>
      </w:r>
      <w:r w:rsidRPr="00A1546F">
        <w:rPr>
          <w:sz w:val="28"/>
          <w:szCs w:val="28"/>
        </w:rPr>
        <w:t xml:space="preserve"> руководителям Предприятий </w:t>
      </w:r>
      <w:r w:rsidR="00C07F66">
        <w:rPr>
          <w:sz w:val="28"/>
          <w:szCs w:val="28"/>
        </w:rPr>
        <w:t xml:space="preserve">                 </w:t>
      </w:r>
      <w:r w:rsidRPr="00A1546F">
        <w:rPr>
          <w:sz w:val="28"/>
          <w:szCs w:val="28"/>
        </w:rPr>
        <w:t>на следующий календарный год</w:t>
      </w:r>
      <w:r w:rsidRPr="00A1546F">
        <w:rPr>
          <w:spacing w:val="2"/>
          <w:sz w:val="28"/>
          <w:szCs w:val="28"/>
        </w:rPr>
        <w:t xml:space="preserve">, в соответствии с подпунктом 4.2.1 пункта                  4.2 раздела 4 настоящего Положения. Для вновь принятых </w:t>
      </w:r>
      <w:r w:rsidR="00B210A8" w:rsidRPr="00A1546F">
        <w:rPr>
          <w:spacing w:val="2"/>
          <w:sz w:val="28"/>
          <w:szCs w:val="28"/>
        </w:rPr>
        <w:t>руководителей</w:t>
      </w:r>
      <w:r w:rsidRPr="00A1546F">
        <w:rPr>
          <w:spacing w:val="2"/>
          <w:sz w:val="28"/>
          <w:szCs w:val="28"/>
        </w:rPr>
        <w:t xml:space="preserve"> </w:t>
      </w:r>
      <w:r w:rsidRPr="00A1546F">
        <w:rPr>
          <w:sz w:val="28"/>
          <w:szCs w:val="28"/>
        </w:rPr>
        <w:t xml:space="preserve">ходатайство </w:t>
      </w:r>
      <w:r w:rsidRPr="00403DB3">
        <w:rPr>
          <w:sz w:val="28"/>
          <w:szCs w:val="28"/>
        </w:rPr>
        <w:t xml:space="preserve">об установлении надбавки </w:t>
      </w:r>
      <w:r w:rsidRPr="00403DB3">
        <w:rPr>
          <w:spacing w:val="2"/>
          <w:sz w:val="28"/>
          <w:szCs w:val="28"/>
        </w:rPr>
        <w:t xml:space="preserve">за интенсивность оформляется </w:t>
      </w:r>
      <w:r w:rsidR="00C07F66" w:rsidRPr="00403DB3">
        <w:rPr>
          <w:spacing w:val="2"/>
          <w:sz w:val="28"/>
          <w:szCs w:val="28"/>
        </w:rPr>
        <w:t xml:space="preserve">                     </w:t>
      </w:r>
      <w:r w:rsidRPr="00403DB3">
        <w:rPr>
          <w:spacing w:val="2"/>
          <w:sz w:val="28"/>
          <w:szCs w:val="28"/>
        </w:rPr>
        <w:t xml:space="preserve">не позднее </w:t>
      </w:r>
      <w:r w:rsidR="00403DB3" w:rsidRPr="00403DB3">
        <w:rPr>
          <w:spacing w:val="2"/>
          <w:sz w:val="28"/>
          <w:szCs w:val="28"/>
        </w:rPr>
        <w:t>одного</w:t>
      </w:r>
      <w:r w:rsidRPr="00403DB3">
        <w:rPr>
          <w:spacing w:val="2"/>
          <w:sz w:val="28"/>
          <w:szCs w:val="28"/>
        </w:rPr>
        <w:t xml:space="preserve"> месяц</w:t>
      </w:r>
      <w:r w:rsidR="00403DB3" w:rsidRPr="00403DB3">
        <w:rPr>
          <w:spacing w:val="2"/>
          <w:sz w:val="28"/>
          <w:szCs w:val="28"/>
        </w:rPr>
        <w:t>а</w:t>
      </w:r>
      <w:r w:rsidRPr="00A1546F">
        <w:rPr>
          <w:spacing w:val="2"/>
          <w:sz w:val="28"/>
          <w:szCs w:val="28"/>
        </w:rPr>
        <w:t xml:space="preserve"> с даты назначения на должность. Ходатайства </w:t>
      </w:r>
      <w:r w:rsidR="00C07F66">
        <w:rPr>
          <w:spacing w:val="2"/>
          <w:sz w:val="28"/>
          <w:szCs w:val="28"/>
        </w:rPr>
        <w:t xml:space="preserve">                    </w:t>
      </w:r>
      <w:r w:rsidR="00AE5B55" w:rsidRPr="00A1546F">
        <w:rPr>
          <w:sz w:val="28"/>
          <w:szCs w:val="28"/>
        </w:rPr>
        <w:t xml:space="preserve">об установлении надбавки </w:t>
      </w:r>
      <w:r w:rsidR="00AE5B55" w:rsidRPr="00A1546F">
        <w:rPr>
          <w:spacing w:val="2"/>
          <w:sz w:val="28"/>
          <w:szCs w:val="28"/>
        </w:rPr>
        <w:t>за интенсивность</w:t>
      </w:r>
      <w:r w:rsidR="00AE5B55" w:rsidRPr="00A1546F">
        <w:rPr>
          <w:sz w:val="28"/>
          <w:szCs w:val="28"/>
        </w:rPr>
        <w:t xml:space="preserve"> руководителям Предприятий </w:t>
      </w:r>
      <w:r w:rsidRPr="00A1546F">
        <w:rPr>
          <w:spacing w:val="2"/>
          <w:sz w:val="28"/>
          <w:szCs w:val="28"/>
        </w:rPr>
        <w:t>согласов</w:t>
      </w:r>
      <w:r w:rsidR="00AE5B55" w:rsidRPr="00A1546F">
        <w:rPr>
          <w:spacing w:val="2"/>
          <w:sz w:val="28"/>
          <w:szCs w:val="28"/>
        </w:rPr>
        <w:t xml:space="preserve">ываются </w:t>
      </w:r>
      <w:r w:rsidRPr="00A1546F">
        <w:rPr>
          <w:spacing w:val="2"/>
          <w:sz w:val="28"/>
          <w:szCs w:val="28"/>
        </w:rPr>
        <w:t xml:space="preserve">с </w:t>
      </w:r>
      <w:r w:rsidR="00AE5B55" w:rsidRPr="00A1546F">
        <w:rPr>
          <w:sz w:val="28"/>
          <w:szCs w:val="28"/>
        </w:rPr>
        <w:t xml:space="preserve">первым заместителем </w:t>
      </w:r>
      <w:r w:rsidRPr="00A1546F">
        <w:rPr>
          <w:spacing w:val="2"/>
          <w:sz w:val="28"/>
          <w:szCs w:val="28"/>
        </w:rPr>
        <w:t>Главы администрации.».</w:t>
      </w:r>
    </w:p>
    <w:p w:rsidR="00306F63" w:rsidRPr="00A1546F" w:rsidRDefault="00306F63" w:rsidP="008F57C1">
      <w:pPr>
        <w:spacing w:line="276" w:lineRule="auto"/>
        <w:ind w:firstLine="720"/>
        <w:jc w:val="both"/>
        <w:rPr>
          <w:sz w:val="28"/>
        </w:rPr>
      </w:pPr>
      <w:r w:rsidRPr="00A1546F">
        <w:rPr>
          <w:sz w:val="28"/>
        </w:rPr>
        <w:t>1.</w:t>
      </w:r>
      <w:r w:rsidR="00B90EE0">
        <w:rPr>
          <w:sz w:val="28"/>
        </w:rPr>
        <w:t>5</w:t>
      </w:r>
      <w:r w:rsidRPr="00A1546F">
        <w:rPr>
          <w:sz w:val="28"/>
        </w:rPr>
        <w:t>. П</w:t>
      </w:r>
      <w:r w:rsidR="00005BC5" w:rsidRPr="00A1546F">
        <w:rPr>
          <w:sz w:val="28"/>
        </w:rPr>
        <w:t>одп</w:t>
      </w:r>
      <w:r w:rsidRPr="00A1546F">
        <w:rPr>
          <w:sz w:val="28"/>
        </w:rPr>
        <w:t xml:space="preserve">ункт 4.2.3 </w:t>
      </w:r>
      <w:r w:rsidR="00005BC5" w:rsidRPr="00A1546F">
        <w:rPr>
          <w:spacing w:val="2"/>
          <w:sz w:val="28"/>
          <w:szCs w:val="28"/>
        </w:rPr>
        <w:t xml:space="preserve">пункта 4.2 </w:t>
      </w:r>
      <w:r w:rsidRPr="00A1546F">
        <w:rPr>
          <w:sz w:val="28"/>
        </w:rPr>
        <w:t xml:space="preserve">раздела 4 Положения изложить </w:t>
      </w:r>
      <w:r w:rsidR="00C07F66">
        <w:rPr>
          <w:sz w:val="28"/>
        </w:rPr>
        <w:t xml:space="preserve">                  </w:t>
      </w:r>
      <w:r w:rsidRPr="00A1546F">
        <w:rPr>
          <w:sz w:val="28"/>
        </w:rPr>
        <w:t>в следующей редакции:</w:t>
      </w:r>
    </w:p>
    <w:p w:rsidR="00306F63" w:rsidRPr="00A1546F" w:rsidRDefault="00306F63" w:rsidP="00403DB3">
      <w:pPr>
        <w:pStyle w:val="a5"/>
        <w:spacing w:line="276" w:lineRule="auto"/>
        <w:ind w:firstLine="720"/>
        <w:jc w:val="both"/>
        <w:rPr>
          <w:szCs w:val="28"/>
        </w:rPr>
      </w:pPr>
      <w:r w:rsidRPr="00A1546F">
        <w:t xml:space="preserve">«4.2.3. </w:t>
      </w:r>
      <w:r w:rsidRPr="00A1546F">
        <w:rPr>
          <w:szCs w:val="28"/>
        </w:rPr>
        <w:t xml:space="preserve">С учетом фактических результатов работы руководителя Предприятия при снижении интенсивности труда ранее установленный размер надбавки за интенсивность досрочно пересматривается или отменяется </w:t>
      </w:r>
      <w:r w:rsidR="00C07F66">
        <w:rPr>
          <w:szCs w:val="28"/>
        </w:rPr>
        <w:t xml:space="preserve">                     </w:t>
      </w:r>
      <w:r w:rsidRPr="00A1546F">
        <w:rPr>
          <w:szCs w:val="28"/>
        </w:rPr>
        <w:t xml:space="preserve">по решению Главы администрации города Байконур на основании ходатайства </w:t>
      </w:r>
      <w:r w:rsidR="00B210A8" w:rsidRPr="00A1546F">
        <w:rPr>
          <w:szCs w:val="28"/>
        </w:rPr>
        <w:t>заместителя</w:t>
      </w:r>
      <w:r w:rsidRPr="00A1546F">
        <w:rPr>
          <w:szCs w:val="28"/>
        </w:rPr>
        <w:t xml:space="preserve"> Главы администрации, курирующ</w:t>
      </w:r>
      <w:r w:rsidR="00B210A8" w:rsidRPr="00A1546F">
        <w:rPr>
          <w:szCs w:val="28"/>
        </w:rPr>
        <w:t>его</w:t>
      </w:r>
      <w:r w:rsidRPr="00A1546F">
        <w:rPr>
          <w:szCs w:val="28"/>
        </w:rPr>
        <w:t xml:space="preserve"> деятельность Предприяти</w:t>
      </w:r>
      <w:r w:rsidR="00B210A8" w:rsidRPr="00A1546F">
        <w:rPr>
          <w:szCs w:val="28"/>
        </w:rPr>
        <w:t>я</w:t>
      </w:r>
      <w:r w:rsidR="007F47B4">
        <w:rPr>
          <w:szCs w:val="28"/>
        </w:rPr>
        <w:t>,</w:t>
      </w:r>
      <w:r w:rsidR="00B210A8" w:rsidRPr="00A1546F">
        <w:rPr>
          <w:szCs w:val="28"/>
        </w:rPr>
        <w:t xml:space="preserve"> </w:t>
      </w:r>
      <w:r w:rsidR="00C07F66">
        <w:rPr>
          <w:szCs w:val="28"/>
        </w:rPr>
        <w:t xml:space="preserve">           </w:t>
      </w:r>
      <w:r w:rsidR="00B210A8" w:rsidRPr="00A1546F">
        <w:rPr>
          <w:szCs w:val="28"/>
        </w:rPr>
        <w:t>по согласованию с</w:t>
      </w:r>
      <w:r w:rsidRPr="00A1546F">
        <w:rPr>
          <w:szCs w:val="28"/>
        </w:rPr>
        <w:t xml:space="preserve"> перв</w:t>
      </w:r>
      <w:r w:rsidR="00B210A8" w:rsidRPr="00A1546F">
        <w:rPr>
          <w:szCs w:val="28"/>
        </w:rPr>
        <w:t>ым</w:t>
      </w:r>
      <w:r w:rsidRPr="00A1546F">
        <w:rPr>
          <w:szCs w:val="28"/>
        </w:rPr>
        <w:t xml:space="preserve"> заместител</w:t>
      </w:r>
      <w:r w:rsidR="00B210A8" w:rsidRPr="00A1546F">
        <w:rPr>
          <w:szCs w:val="28"/>
        </w:rPr>
        <w:t>ем</w:t>
      </w:r>
      <w:r w:rsidRPr="00A1546F">
        <w:rPr>
          <w:szCs w:val="28"/>
        </w:rPr>
        <w:t xml:space="preserve"> Главы администрации.</w:t>
      </w:r>
      <w:r w:rsidR="00B210A8" w:rsidRPr="00A1546F">
        <w:rPr>
          <w:szCs w:val="28"/>
        </w:rPr>
        <w:t>».</w:t>
      </w:r>
    </w:p>
    <w:p w:rsidR="009A0B47" w:rsidRDefault="00CA3D28" w:rsidP="00403DB3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 w:rsidRPr="00A1546F">
        <w:rPr>
          <w:sz w:val="28"/>
          <w:szCs w:val="28"/>
        </w:rPr>
        <w:t>2</w:t>
      </w:r>
      <w:r w:rsidR="00804F6C" w:rsidRPr="00A1546F">
        <w:rPr>
          <w:sz w:val="28"/>
          <w:szCs w:val="28"/>
        </w:rPr>
        <w:t>. </w:t>
      </w:r>
      <w:r w:rsidR="001D5F3C">
        <w:rPr>
          <w:sz w:val="28"/>
          <w:szCs w:val="28"/>
        </w:rPr>
        <w:t xml:space="preserve">  Настоящее П</w:t>
      </w:r>
      <w:r w:rsidR="003A10CF">
        <w:rPr>
          <w:sz w:val="28"/>
          <w:szCs w:val="28"/>
        </w:rPr>
        <w:t>остановление вступает в силу с 01 января 2020 г.</w:t>
      </w:r>
    </w:p>
    <w:p w:rsidR="0011483B" w:rsidRDefault="009A0B47" w:rsidP="001C3FD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483B">
        <w:rPr>
          <w:sz w:val="28"/>
          <w:szCs w:val="28"/>
        </w:rPr>
        <w:t xml:space="preserve">Отделу муниципальной службы и кадров администрации города Байконур уведомить руководителей </w:t>
      </w:r>
      <w:r w:rsidR="0011483B" w:rsidRPr="00403DB3">
        <w:rPr>
          <w:sz w:val="28"/>
          <w:szCs w:val="28"/>
        </w:rPr>
        <w:t>предприят</w:t>
      </w:r>
      <w:r w:rsidR="001E42A4" w:rsidRPr="00403DB3">
        <w:rPr>
          <w:sz w:val="28"/>
          <w:szCs w:val="28"/>
        </w:rPr>
        <w:t>ий</w:t>
      </w:r>
      <w:r w:rsidR="00403DB3">
        <w:rPr>
          <w:sz w:val="28"/>
          <w:szCs w:val="28"/>
        </w:rPr>
        <w:t>,</w:t>
      </w:r>
      <w:r w:rsidR="001E42A4">
        <w:rPr>
          <w:sz w:val="28"/>
          <w:szCs w:val="28"/>
        </w:rPr>
        <w:t xml:space="preserve"> </w:t>
      </w:r>
      <w:r w:rsidR="00403DB3" w:rsidRPr="00403DB3">
        <w:rPr>
          <w:sz w:val="28"/>
          <w:szCs w:val="28"/>
        </w:rPr>
        <w:t>находящихся в ведении администрации города Байконур</w:t>
      </w:r>
      <w:r w:rsidR="00403DB3">
        <w:rPr>
          <w:sz w:val="28"/>
          <w:szCs w:val="28"/>
        </w:rPr>
        <w:t xml:space="preserve">, </w:t>
      </w:r>
      <w:r w:rsidR="0011483B">
        <w:rPr>
          <w:sz w:val="28"/>
          <w:szCs w:val="28"/>
        </w:rPr>
        <w:t>установленн</w:t>
      </w:r>
      <w:r w:rsidR="001E42A4">
        <w:rPr>
          <w:sz w:val="28"/>
          <w:szCs w:val="28"/>
        </w:rPr>
        <w:t>ы</w:t>
      </w:r>
      <w:r w:rsidR="0011483B">
        <w:rPr>
          <w:sz w:val="28"/>
          <w:szCs w:val="28"/>
        </w:rPr>
        <w:t>м порядк</w:t>
      </w:r>
      <w:r w:rsidR="001E42A4">
        <w:rPr>
          <w:sz w:val="28"/>
          <w:szCs w:val="28"/>
        </w:rPr>
        <w:t>ом об изменении существенных условий труда</w:t>
      </w:r>
      <w:r w:rsidR="0011483B">
        <w:rPr>
          <w:sz w:val="28"/>
          <w:szCs w:val="28"/>
        </w:rPr>
        <w:t xml:space="preserve"> и внести </w:t>
      </w:r>
      <w:r w:rsidR="00014CA4">
        <w:rPr>
          <w:sz w:val="28"/>
          <w:szCs w:val="28"/>
        </w:rPr>
        <w:t>соответствующие изменения</w:t>
      </w:r>
      <w:r w:rsidR="001E42A4">
        <w:rPr>
          <w:sz w:val="28"/>
          <w:szCs w:val="28"/>
        </w:rPr>
        <w:t xml:space="preserve"> в заключенные с ними </w:t>
      </w:r>
      <w:r w:rsidR="00014CA4">
        <w:rPr>
          <w:sz w:val="28"/>
          <w:szCs w:val="28"/>
        </w:rPr>
        <w:t>трудовые договоры.</w:t>
      </w:r>
    </w:p>
    <w:p w:rsidR="00BA32CB" w:rsidRPr="00A1546F" w:rsidRDefault="00DF6A26" w:rsidP="00403DB3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A32CB" w:rsidRPr="00A1546F">
        <w:rPr>
          <w:sz w:val="28"/>
          <w:szCs w:val="28"/>
        </w:rPr>
        <w:t>Государственному бюджетному учреждению «Редакция горо</w:t>
      </w:r>
      <w:r w:rsidR="000B21F2" w:rsidRPr="00A1546F">
        <w:rPr>
          <w:sz w:val="28"/>
          <w:szCs w:val="28"/>
        </w:rPr>
        <w:t>дской газеты «Байконур»</w:t>
      </w:r>
      <w:r w:rsidR="008B3921" w:rsidRPr="00A1546F">
        <w:rPr>
          <w:sz w:val="28"/>
          <w:szCs w:val="28"/>
        </w:rPr>
        <w:t xml:space="preserve"> </w:t>
      </w:r>
      <w:r w:rsidR="00BA32CB" w:rsidRPr="00A1546F">
        <w:rPr>
          <w:sz w:val="28"/>
          <w:szCs w:val="28"/>
        </w:rPr>
        <w:t>установленным порядко</w:t>
      </w:r>
      <w:r w:rsidR="000B21F2" w:rsidRPr="00A1546F">
        <w:rPr>
          <w:sz w:val="28"/>
          <w:szCs w:val="28"/>
        </w:rPr>
        <w:t xml:space="preserve">м опубликовать настоящее </w:t>
      </w:r>
      <w:r w:rsidR="00BA32CB" w:rsidRPr="00A1546F">
        <w:rPr>
          <w:sz w:val="28"/>
          <w:szCs w:val="28"/>
        </w:rPr>
        <w:t>постановлен</w:t>
      </w:r>
      <w:r w:rsidR="000B21F2" w:rsidRPr="00A1546F">
        <w:rPr>
          <w:sz w:val="28"/>
          <w:szCs w:val="28"/>
        </w:rPr>
        <w:t xml:space="preserve">ие в газете </w:t>
      </w:r>
      <w:r w:rsidR="00BA32CB" w:rsidRPr="00A1546F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07F66">
        <w:rPr>
          <w:sz w:val="28"/>
          <w:szCs w:val="28"/>
        </w:rPr>
        <w:t xml:space="preserve">               </w:t>
      </w:r>
      <w:r w:rsidR="00BA32CB" w:rsidRPr="00A1546F">
        <w:rPr>
          <w:sz w:val="28"/>
          <w:szCs w:val="28"/>
        </w:rPr>
        <w:t>на официальном сайте администрации города Байконур www.baikonuradm.ru.</w:t>
      </w:r>
    </w:p>
    <w:p w:rsidR="00442E27" w:rsidRPr="00A1546F" w:rsidRDefault="00DF6A26" w:rsidP="00403DB3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0B47">
        <w:rPr>
          <w:sz w:val="28"/>
          <w:szCs w:val="28"/>
        </w:rPr>
        <w:t>.</w:t>
      </w:r>
      <w:r w:rsidR="00442E27" w:rsidRPr="00A1546F">
        <w:t xml:space="preserve"> </w:t>
      </w:r>
      <w:r w:rsidR="003A10CF">
        <w:t xml:space="preserve"> </w:t>
      </w:r>
      <w:r w:rsidR="00442E27" w:rsidRPr="00A154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C07F66">
        <w:rPr>
          <w:sz w:val="28"/>
          <w:szCs w:val="28"/>
        </w:rPr>
        <w:t xml:space="preserve">                  </w:t>
      </w:r>
      <w:r w:rsidR="00442E27" w:rsidRPr="00A1546F">
        <w:rPr>
          <w:sz w:val="28"/>
          <w:szCs w:val="28"/>
        </w:rPr>
        <w:t>на заместителя Главы администрации, отвечающего за экономическую</w:t>
      </w:r>
      <w:r w:rsidR="00C07F66">
        <w:rPr>
          <w:sz w:val="28"/>
          <w:szCs w:val="28"/>
        </w:rPr>
        <w:t xml:space="preserve">                       </w:t>
      </w:r>
      <w:r w:rsidR="00442E27" w:rsidRPr="00A1546F">
        <w:rPr>
          <w:sz w:val="28"/>
          <w:szCs w:val="28"/>
        </w:rPr>
        <w:t xml:space="preserve"> и финансовую политику администрации города Байконур</w:t>
      </w:r>
      <w:r w:rsidR="009F4442" w:rsidRPr="00A1546F">
        <w:rPr>
          <w:sz w:val="28"/>
          <w:szCs w:val="28"/>
        </w:rPr>
        <w:t>.</w:t>
      </w:r>
    </w:p>
    <w:p w:rsidR="00843F69" w:rsidRDefault="00843F69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9732DE" w:rsidRPr="00A1546F" w:rsidRDefault="009732DE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B54E07" w:rsidRPr="005B341A" w:rsidRDefault="002F0BDF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  <w:r w:rsidRPr="005B341A">
        <w:rPr>
          <w:b/>
          <w:sz w:val="28"/>
          <w:szCs w:val="28"/>
        </w:rPr>
        <w:t>Г</w:t>
      </w:r>
      <w:r w:rsidR="00131BA8" w:rsidRPr="005B341A">
        <w:rPr>
          <w:b/>
          <w:sz w:val="28"/>
          <w:szCs w:val="28"/>
        </w:rPr>
        <w:t>лав</w:t>
      </w:r>
      <w:r w:rsidR="002B7ECA" w:rsidRPr="005B341A">
        <w:rPr>
          <w:b/>
          <w:sz w:val="28"/>
          <w:szCs w:val="28"/>
        </w:rPr>
        <w:t>а</w:t>
      </w:r>
      <w:r w:rsidR="00131BA8" w:rsidRPr="005B341A">
        <w:rPr>
          <w:b/>
          <w:sz w:val="28"/>
          <w:szCs w:val="28"/>
        </w:rPr>
        <w:t xml:space="preserve"> администрации</w:t>
      </w:r>
      <w:r w:rsidR="00131BA8" w:rsidRPr="005B341A">
        <w:rPr>
          <w:b/>
          <w:sz w:val="28"/>
        </w:rPr>
        <w:t xml:space="preserve">         </w:t>
      </w:r>
      <w:r w:rsidRPr="005B341A">
        <w:rPr>
          <w:b/>
          <w:sz w:val="28"/>
        </w:rPr>
        <w:t xml:space="preserve">                   </w:t>
      </w:r>
      <w:r w:rsidR="00131BA8" w:rsidRPr="005B341A">
        <w:rPr>
          <w:b/>
          <w:sz w:val="28"/>
        </w:rPr>
        <w:t xml:space="preserve">  </w:t>
      </w:r>
      <w:r w:rsidR="00442E27" w:rsidRPr="005B341A">
        <w:rPr>
          <w:b/>
          <w:sz w:val="28"/>
        </w:rPr>
        <w:t xml:space="preserve">          </w:t>
      </w:r>
      <w:r w:rsidR="00131BA8" w:rsidRPr="005B341A">
        <w:rPr>
          <w:b/>
          <w:sz w:val="28"/>
        </w:rPr>
        <w:t xml:space="preserve"> </w:t>
      </w:r>
      <w:r w:rsidR="000B21F2" w:rsidRPr="005B341A">
        <w:rPr>
          <w:b/>
          <w:sz w:val="28"/>
        </w:rPr>
        <w:t xml:space="preserve"> </w:t>
      </w:r>
      <w:r w:rsidR="00442E27" w:rsidRPr="005B341A">
        <w:rPr>
          <w:b/>
          <w:sz w:val="28"/>
        </w:rPr>
        <w:t xml:space="preserve">    </w:t>
      </w:r>
      <w:r w:rsidR="000B21F2" w:rsidRPr="005B341A">
        <w:rPr>
          <w:b/>
          <w:sz w:val="28"/>
        </w:rPr>
        <w:t xml:space="preserve">   </w:t>
      </w:r>
      <w:r w:rsidR="005B341A">
        <w:rPr>
          <w:b/>
          <w:sz w:val="28"/>
        </w:rPr>
        <w:t xml:space="preserve">        </w:t>
      </w:r>
      <w:r w:rsidR="00E86AD9" w:rsidRPr="005B341A">
        <w:rPr>
          <w:b/>
          <w:sz w:val="28"/>
        </w:rPr>
        <w:t xml:space="preserve">   </w:t>
      </w:r>
      <w:r w:rsidR="000B21F2" w:rsidRPr="005B341A">
        <w:rPr>
          <w:b/>
          <w:sz w:val="28"/>
        </w:rPr>
        <w:t xml:space="preserve"> </w:t>
      </w:r>
      <w:r w:rsidR="00442E27" w:rsidRPr="005B341A">
        <w:rPr>
          <w:b/>
          <w:sz w:val="28"/>
        </w:rPr>
        <w:t xml:space="preserve">   </w:t>
      </w:r>
      <w:r w:rsidR="00283EAA" w:rsidRPr="005B341A">
        <w:rPr>
          <w:b/>
          <w:sz w:val="28"/>
        </w:rPr>
        <w:t xml:space="preserve">  </w:t>
      </w:r>
      <w:r w:rsidR="008F3CE3" w:rsidRPr="005B341A">
        <w:rPr>
          <w:b/>
          <w:sz w:val="28"/>
        </w:rPr>
        <w:t xml:space="preserve">     </w:t>
      </w:r>
      <w:r w:rsidR="002B7ECA" w:rsidRPr="005B341A">
        <w:rPr>
          <w:b/>
          <w:sz w:val="28"/>
        </w:rPr>
        <w:t xml:space="preserve"> </w:t>
      </w:r>
      <w:r w:rsidR="008F3CE3" w:rsidRPr="005B341A">
        <w:rPr>
          <w:b/>
          <w:sz w:val="28"/>
        </w:rPr>
        <w:t>К</w:t>
      </w:r>
      <w:r w:rsidR="00586554" w:rsidRPr="005B341A">
        <w:rPr>
          <w:b/>
          <w:sz w:val="28"/>
        </w:rPr>
        <w:t>.</w:t>
      </w:r>
      <w:r w:rsidR="008F3CE3" w:rsidRPr="005B341A">
        <w:rPr>
          <w:b/>
          <w:sz w:val="28"/>
        </w:rPr>
        <w:t>Д</w:t>
      </w:r>
      <w:r w:rsidR="00586554" w:rsidRPr="005B341A">
        <w:rPr>
          <w:b/>
          <w:sz w:val="28"/>
        </w:rPr>
        <w:t xml:space="preserve">. </w:t>
      </w:r>
      <w:r w:rsidR="008F3CE3" w:rsidRPr="005B341A">
        <w:rPr>
          <w:b/>
          <w:sz w:val="28"/>
        </w:rPr>
        <w:t>Бусыгин</w:t>
      </w:r>
    </w:p>
    <w:sectPr w:rsidR="00B54E07" w:rsidRPr="005B341A" w:rsidSect="00801CD0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515" w:rsidRDefault="00FE5515">
      <w:r>
        <w:separator/>
      </w:r>
    </w:p>
  </w:endnote>
  <w:endnote w:type="continuationSeparator" w:id="0">
    <w:p w:rsidR="00FE5515" w:rsidRDefault="00FE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515" w:rsidRDefault="00FE5515">
      <w:r>
        <w:separator/>
      </w:r>
    </w:p>
  </w:footnote>
  <w:footnote w:type="continuationSeparator" w:id="0">
    <w:p w:rsidR="00FE5515" w:rsidRDefault="00FE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24" w:rsidRDefault="00676E24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76E24" w:rsidRDefault="00676E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24" w:rsidRDefault="00676E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3AF5">
      <w:rPr>
        <w:noProof/>
      </w:rPr>
      <w:t>2</w:t>
    </w:r>
    <w:r>
      <w:fldChar w:fldCharType="end"/>
    </w:r>
  </w:p>
  <w:p w:rsidR="00676E24" w:rsidRPr="0069731B" w:rsidRDefault="00676E24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24" w:rsidRDefault="00676E24">
    <w:pPr>
      <w:pStyle w:val="a7"/>
      <w:jc w:val="center"/>
    </w:pPr>
  </w:p>
  <w:p w:rsidR="00676E24" w:rsidRDefault="00676E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86D27"/>
    <w:multiLevelType w:val="multilevel"/>
    <w:tmpl w:val="509035E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499F"/>
    <w:rsid w:val="00005BC5"/>
    <w:rsid w:val="000067B1"/>
    <w:rsid w:val="00006956"/>
    <w:rsid w:val="00011D8D"/>
    <w:rsid w:val="000134A9"/>
    <w:rsid w:val="00014CA4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43C74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64EF"/>
    <w:rsid w:val="000872B8"/>
    <w:rsid w:val="0009074C"/>
    <w:rsid w:val="00092170"/>
    <w:rsid w:val="000928C2"/>
    <w:rsid w:val="00095F43"/>
    <w:rsid w:val="000B18DB"/>
    <w:rsid w:val="000B21F2"/>
    <w:rsid w:val="000B3EC2"/>
    <w:rsid w:val="000B40F2"/>
    <w:rsid w:val="000D4B46"/>
    <w:rsid w:val="000D5327"/>
    <w:rsid w:val="000E1B0E"/>
    <w:rsid w:val="000E21C1"/>
    <w:rsid w:val="000F1DDD"/>
    <w:rsid w:val="000F7BB3"/>
    <w:rsid w:val="001014E3"/>
    <w:rsid w:val="00101B78"/>
    <w:rsid w:val="00102182"/>
    <w:rsid w:val="0010233F"/>
    <w:rsid w:val="0010252D"/>
    <w:rsid w:val="001073CF"/>
    <w:rsid w:val="0011483B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6315C"/>
    <w:rsid w:val="00170359"/>
    <w:rsid w:val="00171433"/>
    <w:rsid w:val="00180A8C"/>
    <w:rsid w:val="00181063"/>
    <w:rsid w:val="00181CD1"/>
    <w:rsid w:val="0018229E"/>
    <w:rsid w:val="00184DAC"/>
    <w:rsid w:val="001A0F65"/>
    <w:rsid w:val="001A341C"/>
    <w:rsid w:val="001A44B1"/>
    <w:rsid w:val="001A7ADE"/>
    <w:rsid w:val="001B301E"/>
    <w:rsid w:val="001B4377"/>
    <w:rsid w:val="001C3FD0"/>
    <w:rsid w:val="001C451F"/>
    <w:rsid w:val="001C677F"/>
    <w:rsid w:val="001C6F2B"/>
    <w:rsid w:val="001C79C9"/>
    <w:rsid w:val="001D3467"/>
    <w:rsid w:val="001D4698"/>
    <w:rsid w:val="001D5BDD"/>
    <w:rsid w:val="001D5E51"/>
    <w:rsid w:val="001D5F3C"/>
    <w:rsid w:val="001E02DF"/>
    <w:rsid w:val="001E2C22"/>
    <w:rsid w:val="001E3204"/>
    <w:rsid w:val="001E35A5"/>
    <w:rsid w:val="001E42A4"/>
    <w:rsid w:val="001E4988"/>
    <w:rsid w:val="001E61CF"/>
    <w:rsid w:val="001E6FFC"/>
    <w:rsid w:val="001F2408"/>
    <w:rsid w:val="00203B61"/>
    <w:rsid w:val="00204EA9"/>
    <w:rsid w:val="0020708F"/>
    <w:rsid w:val="0021166F"/>
    <w:rsid w:val="0021184D"/>
    <w:rsid w:val="002123BC"/>
    <w:rsid w:val="00220106"/>
    <w:rsid w:val="002230A1"/>
    <w:rsid w:val="00230D9F"/>
    <w:rsid w:val="002330C2"/>
    <w:rsid w:val="002356BF"/>
    <w:rsid w:val="00237051"/>
    <w:rsid w:val="002373C2"/>
    <w:rsid w:val="00246961"/>
    <w:rsid w:val="0024703D"/>
    <w:rsid w:val="002519DD"/>
    <w:rsid w:val="002525C3"/>
    <w:rsid w:val="00253D43"/>
    <w:rsid w:val="002555D9"/>
    <w:rsid w:val="00257F30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3EAA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14EE"/>
    <w:rsid w:val="002E500B"/>
    <w:rsid w:val="002E5240"/>
    <w:rsid w:val="002E6B91"/>
    <w:rsid w:val="002F0BDF"/>
    <w:rsid w:val="002F676C"/>
    <w:rsid w:val="00300853"/>
    <w:rsid w:val="00302338"/>
    <w:rsid w:val="00306F63"/>
    <w:rsid w:val="00312B2A"/>
    <w:rsid w:val="003154F5"/>
    <w:rsid w:val="00322D40"/>
    <w:rsid w:val="003307E5"/>
    <w:rsid w:val="00334DF0"/>
    <w:rsid w:val="00344315"/>
    <w:rsid w:val="00344E82"/>
    <w:rsid w:val="00347A1C"/>
    <w:rsid w:val="003548E4"/>
    <w:rsid w:val="00355C48"/>
    <w:rsid w:val="00363374"/>
    <w:rsid w:val="003637CC"/>
    <w:rsid w:val="00365105"/>
    <w:rsid w:val="003655A1"/>
    <w:rsid w:val="00377F6D"/>
    <w:rsid w:val="00384210"/>
    <w:rsid w:val="00391D08"/>
    <w:rsid w:val="00392FC4"/>
    <w:rsid w:val="00395FBC"/>
    <w:rsid w:val="003A10CF"/>
    <w:rsid w:val="003A17AA"/>
    <w:rsid w:val="003A1F5B"/>
    <w:rsid w:val="003A4681"/>
    <w:rsid w:val="003A6888"/>
    <w:rsid w:val="003A6E6B"/>
    <w:rsid w:val="003B368F"/>
    <w:rsid w:val="003B6EF6"/>
    <w:rsid w:val="003C21A0"/>
    <w:rsid w:val="003C645E"/>
    <w:rsid w:val="003D2CF7"/>
    <w:rsid w:val="003D5E0B"/>
    <w:rsid w:val="003E3596"/>
    <w:rsid w:val="003E5007"/>
    <w:rsid w:val="003F03F6"/>
    <w:rsid w:val="003F08C1"/>
    <w:rsid w:val="003F56A6"/>
    <w:rsid w:val="003F68F8"/>
    <w:rsid w:val="00403DB3"/>
    <w:rsid w:val="0041098D"/>
    <w:rsid w:val="00411D7E"/>
    <w:rsid w:val="00412918"/>
    <w:rsid w:val="00417E83"/>
    <w:rsid w:val="004200DA"/>
    <w:rsid w:val="004377CB"/>
    <w:rsid w:val="00437C7D"/>
    <w:rsid w:val="00441346"/>
    <w:rsid w:val="00442E27"/>
    <w:rsid w:val="00450DED"/>
    <w:rsid w:val="004532E0"/>
    <w:rsid w:val="004556A6"/>
    <w:rsid w:val="004601C6"/>
    <w:rsid w:val="0046176B"/>
    <w:rsid w:val="00461AB1"/>
    <w:rsid w:val="00466323"/>
    <w:rsid w:val="00466394"/>
    <w:rsid w:val="00471FE0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1237D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4F4E"/>
    <w:rsid w:val="005457AF"/>
    <w:rsid w:val="00547A80"/>
    <w:rsid w:val="00550BD8"/>
    <w:rsid w:val="00556A58"/>
    <w:rsid w:val="005618E9"/>
    <w:rsid w:val="00565BC5"/>
    <w:rsid w:val="00567BB2"/>
    <w:rsid w:val="0057281D"/>
    <w:rsid w:val="00577890"/>
    <w:rsid w:val="00586554"/>
    <w:rsid w:val="00586E16"/>
    <w:rsid w:val="00587CE7"/>
    <w:rsid w:val="00595106"/>
    <w:rsid w:val="00596634"/>
    <w:rsid w:val="005A0F87"/>
    <w:rsid w:val="005A3439"/>
    <w:rsid w:val="005A450F"/>
    <w:rsid w:val="005B341A"/>
    <w:rsid w:val="005B5283"/>
    <w:rsid w:val="005B7650"/>
    <w:rsid w:val="005C69FA"/>
    <w:rsid w:val="005C7B79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04E7"/>
    <w:rsid w:val="00604B76"/>
    <w:rsid w:val="00605F51"/>
    <w:rsid w:val="00607494"/>
    <w:rsid w:val="006100B7"/>
    <w:rsid w:val="00610283"/>
    <w:rsid w:val="00614225"/>
    <w:rsid w:val="006152CB"/>
    <w:rsid w:val="006158B4"/>
    <w:rsid w:val="00616F2C"/>
    <w:rsid w:val="006229A9"/>
    <w:rsid w:val="00623175"/>
    <w:rsid w:val="00627816"/>
    <w:rsid w:val="00630D3A"/>
    <w:rsid w:val="006318CC"/>
    <w:rsid w:val="00632D8C"/>
    <w:rsid w:val="0064180F"/>
    <w:rsid w:val="00645DB7"/>
    <w:rsid w:val="00646B8A"/>
    <w:rsid w:val="00650F62"/>
    <w:rsid w:val="00655051"/>
    <w:rsid w:val="00661466"/>
    <w:rsid w:val="00663C1C"/>
    <w:rsid w:val="00666954"/>
    <w:rsid w:val="00676A7D"/>
    <w:rsid w:val="00676E24"/>
    <w:rsid w:val="00677242"/>
    <w:rsid w:val="006909BA"/>
    <w:rsid w:val="006941E5"/>
    <w:rsid w:val="0069731B"/>
    <w:rsid w:val="006A155F"/>
    <w:rsid w:val="006A5231"/>
    <w:rsid w:val="006A5CC2"/>
    <w:rsid w:val="006A6BAD"/>
    <w:rsid w:val="006B2E48"/>
    <w:rsid w:val="006B346A"/>
    <w:rsid w:val="006B4C10"/>
    <w:rsid w:val="006C1D29"/>
    <w:rsid w:val="006C4F41"/>
    <w:rsid w:val="006D112E"/>
    <w:rsid w:val="006D3FF7"/>
    <w:rsid w:val="006D40F5"/>
    <w:rsid w:val="006D52F9"/>
    <w:rsid w:val="006E6A3F"/>
    <w:rsid w:val="006F3341"/>
    <w:rsid w:val="006F45DB"/>
    <w:rsid w:val="006F6876"/>
    <w:rsid w:val="00701935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1BBE"/>
    <w:rsid w:val="007622A3"/>
    <w:rsid w:val="00764183"/>
    <w:rsid w:val="0076668F"/>
    <w:rsid w:val="00767A91"/>
    <w:rsid w:val="007707F1"/>
    <w:rsid w:val="007708E1"/>
    <w:rsid w:val="007739FE"/>
    <w:rsid w:val="00781695"/>
    <w:rsid w:val="00785755"/>
    <w:rsid w:val="00787947"/>
    <w:rsid w:val="00797294"/>
    <w:rsid w:val="007A2033"/>
    <w:rsid w:val="007A339E"/>
    <w:rsid w:val="007A65C5"/>
    <w:rsid w:val="007A6679"/>
    <w:rsid w:val="007A72A6"/>
    <w:rsid w:val="007B50AD"/>
    <w:rsid w:val="007C4BFC"/>
    <w:rsid w:val="007D03E6"/>
    <w:rsid w:val="007D1899"/>
    <w:rsid w:val="007E0196"/>
    <w:rsid w:val="007E08C2"/>
    <w:rsid w:val="007E2129"/>
    <w:rsid w:val="007E3F90"/>
    <w:rsid w:val="007E51AD"/>
    <w:rsid w:val="007E555A"/>
    <w:rsid w:val="007E6780"/>
    <w:rsid w:val="007F396E"/>
    <w:rsid w:val="007F47B4"/>
    <w:rsid w:val="00801CD0"/>
    <w:rsid w:val="00803C9A"/>
    <w:rsid w:val="00804F6C"/>
    <w:rsid w:val="0081515C"/>
    <w:rsid w:val="00816029"/>
    <w:rsid w:val="00825DFC"/>
    <w:rsid w:val="00830D3A"/>
    <w:rsid w:val="00834DD7"/>
    <w:rsid w:val="00837CBC"/>
    <w:rsid w:val="008417BA"/>
    <w:rsid w:val="00843644"/>
    <w:rsid w:val="00843F69"/>
    <w:rsid w:val="0084545C"/>
    <w:rsid w:val="00850B41"/>
    <w:rsid w:val="00854348"/>
    <w:rsid w:val="00856096"/>
    <w:rsid w:val="008610AC"/>
    <w:rsid w:val="00863F0F"/>
    <w:rsid w:val="008652E0"/>
    <w:rsid w:val="00866E8A"/>
    <w:rsid w:val="00867690"/>
    <w:rsid w:val="00870675"/>
    <w:rsid w:val="00874E73"/>
    <w:rsid w:val="008761FE"/>
    <w:rsid w:val="00877C89"/>
    <w:rsid w:val="00880191"/>
    <w:rsid w:val="0088418E"/>
    <w:rsid w:val="00884BDF"/>
    <w:rsid w:val="00895427"/>
    <w:rsid w:val="008969EB"/>
    <w:rsid w:val="008975BA"/>
    <w:rsid w:val="008A1052"/>
    <w:rsid w:val="008A553C"/>
    <w:rsid w:val="008B3921"/>
    <w:rsid w:val="008C0778"/>
    <w:rsid w:val="008C185F"/>
    <w:rsid w:val="008C3AF5"/>
    <w:rsid w:val="008D2233"/>
    <w:rsid w:val="008D2704"/>
    <w:rsid w:val="008D2946"/>
    <w:rsid w:val="008D7AAA"/>
    <w:rsid w:val="008E2FEB"/>
    <w:rsid w:val="008F0F1A"/>
    <w:rsid w:val="008F156E"/>
    <w:rsid w:val="008F3CE3"/>
    <w:rsid w:val="008F57C1"/>
    <w:rsid w:val="00904B53"/>
    <w:rsid w:val="00911E96"/>
    <w:rsid w:val="00924B0A"/>
    <w:rsid w:val="00931346"/>
    <w:rsid w:val="00941F9B"/>
    <w:rsid w:val="0094363E"/>
    <w:rsid w:val="00946335"/>
    <w:rsid w:val="00951A43"/>
    <w:rsid w:val="00956631"/>
    <w:rsid w:val="00964445"/>
    <w:rsid w:val="00965691"/>
    <w:rsid w:val="0096691C"/>
    <w:rsid w:val="0097017C"/>
    <w:rsid w:val="00971383"/>
    <w:rsid w:val="009720D4"/>
    <w:rsid w:val="009732DE"/>
    <w:rsid w:val="00990F28"/>
    <w:rsid w:val="00994B10"/>
    <w:rsid w:val="009961B0"/>
    <w:rsid w:val="009A0B47"/>
    <w:rsid w:val="009A4CC1"/>
    <w:rsid w:val="009A6288"/>
    <w:rsid w:val="009B0043"/>
    <w:rsid w:val="009B0882"/>
    <w:rsid w:val="009B4D1F"/>
    <w:rsid w:val="009B6468"/>
    <w:rsid w:val="009D6876"/>
    <w:rsid w:val="009F0DE3"/>
    <w:rsid w:val="009F16FA"/>
    <w:rsid w:val="009F274C"/>
    <w:rsid w:val="009F3E8C"/>
    <w:rsid w:val="009F4150"/>
    <w:rsid w:val="009F4330"/>
    <w:rsid w:val="009F4442"/>
    <w:rsid w:val="009F7190"/>
    <w:rsid w:val="00A00D4E"/>
    <w:rsid w:val="00A046B1"/>
    <w:rsid w:val="00A11F3B"/>
    <w:rsid w:val="00A1546F"/>
    <w:rsid w:val="00A20D41"/>
    <w:rsid w:val="00A21A25"/>
    <w:rsid w:val="00A23865"/>
    <w:rsid w:val="00A2398F"/>
    <w:rsid w:val="00A248D0"/>
    <w:rsid w:val="00A4159A"/>
    <w:rsid w:val="00A42352"/>
    <w:rsid w:val="00A43639"/>
    <w:rsid w:val="00A45891"/>
    <w:rsid w:val="00A4591E"/>
    <w:rsid w:val="00A45F6A"/>
    <w:rsid w:val="00A467AD"/>
    <w:rsid w:val="00A50006"/>
    <w:rsid w:val="00A54041"/>
    <w:rsid w:val="00A54F41"/>
    <w:rsid w:val="00A601EB"/>
    <w:rsid w:val="00A60E36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2F5A"/>
    <w:rsid w:val="00AC6B58"/>
    <w:rsid w:val="00AD66B7"/>
    <w:rsid w:val="00AE42F6"/>
    <w:rsid w:val="00AE56F7"/>
    <w:rsid w:val="00AE5B55"/>
    <w:rsid w:val="00AF1CF1"/>
    <w:rsid w:val="00AF50EC"/>
    <w:rsid w:val="00B1101A"/>
    <w:rsid w:val="00B11645"/>
    <w:rsid w:val="00B15A1B"/>
    <w:rsid w:val="00B15AC4"/>
    <w:rsid w:val="00B15CAE"/>
    <w:rsid w:val="00B210A8"/>
    <w:rsid w:val="00B2218D"/>
    <w:rsid w:val="00B23E8D"/>
    <w:rsid w:val="00B24BE0"/>
    <w:rsid w:val="00B2506E"/>
    <w:rsid w:val="00B27A95"/>
    <w:rsid w:val="00B32CE5"/>
    <w:rsid w:val="00B35174"/>
    <w:rsid w:val="00B36A2B"/>
    <w:rsid w:val="00B378D8"/>
    <w:rsid w:val="00B4427F"/>
    <w:rsid w:val="00B51175"/>
    <w:rsid w:val="00B54198"/>
    <w:rsid w:val="00B54E07"/>
    <w:rsid w:val="00B5590A"/>
    <w:rsid w:val="00B578C7"/>
    <w:rsid w:val="00B65EAA"/>
    <w:rsid w:val="00B664CD"/>
    <w:rsid w:val="00B66E23"/>
    <w:rsid w:val="00B67A69"/>
    <w:rsid w:val="00B7111D"/>
    <w:rsid w:val="00B7397B"/>
    <w:rsid w:val="00B74B2F"/>
    <w:rsid w:val="00B754F3"/>
    <w:rsid w:val="00B77A44"/>
    <w:rsid w:val="00B80EFA"/>
    <w:rsid w:val="00B819C3"/>
    <w:rsid w:val="00B853B3"/>
    <w:rsid w:val="00B85EE9"/>
    <w:rsid w:val="00B905B1"/>
    <w:rsid w:val="00B90EE0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4A8"/>
    <w:rsid w:val="00BC0B52"/>
    <w:rsid w:val="00BC2162"/>
    <w:rsid w:val="00BC6C2A"/>
    <w:rsid w:val="00BC7ACD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07F66"/>
    <w:rsid w:val="00C138A5"/>
    <w:rsid w:val="00C15D1A"/>
    <w:rsid w:val="00C16AC8"/>
    <w:rsid w:val="00C2026D"/>
    <w:rsid w:val="00C27212"/>
    <w:rsid w:val="00C27AF7"/>
    <w:rsid w:val="00C409CA"/>
    <w:rsid w:val="00C45DA5"/>
    <w:rsid w:val="00C50D69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9778A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1E1B"/>
    <w:rsid w:val="00D25891"/>
    <w:rsid w:val="00D30AE2"/>
    <w:rsid w:val="00D32DCE"/>
    <w:rsid w:val="00D503C6"/>
    <w:rsid w:val="00D51296"/>
    <w:rsid w:val="00D52C04"/>
    <w:rsid w:val="00D558E2"/>
    <w:rsid w:val="00D60009"/>
    <w:rsid w:val="00D62443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0F00"/>
    <w:rsid w:val="00DB22E3"/>
    <w:rsid w:val="00DB75DE"/>
    <w:rsid w:val="00DC19E1"/>
    <w:rsid w:val="00DC3FA5"/>
    <w:rsid w:val="00DD1E45"/>
    <w:rsid w:val="00DD53BE"/>
    <w:rsid w:val="00DD6759"/>
    <w:rsid w:val="00DD77D8"/>
    <w:rsid w:val="00DD7A40"/>
    <w:rsid w:val="00DE2865"/>
    <w:rsid w:val="00DF1744"/>
    <w:rsid w:val="00DF55DA"/>
    <w:rsid w:val="00DF6A26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479C0"/>
    <w:rsid w:val="00E506DF"/>
    <w:rsid w:val="00E53CFD"/>
    <w:rsid w:val="00E572CF"/>
    <w:rsid w:val="00E60248"/>
    <w:rsid w:val="00E61C3F"/>
    <w:rsid w:val="00E63AF5"/>
    <w:rsid w:val="00E65911"/>
    <w:rsid w:val="00E6609E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C1042"/>
    <w:rsid w:val="00EC1CEE"/>
    <w:rsid w:val="00EC4BA6"/>
    <w:rsid w:val="00ED3AE2"/>
    <w:rsid w:val="00ED4352"/>
    <w:rsid w:val="00ED626E"/>
    <w:rsid w:val="00ED72C1"/>
    <w:rsid w:val="00ED7742"/>
    <w:rsid w:val="00ED7E6D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4438B"/>
    <w:rsid w:val="00F46379"/>
    <w:rsid w:val="00F5340F"/>
    <w:rsid w:val="00F60D48"/>
    <w:rsid w:val="00F613C6"/>
    <w:rsid w:val="00F619DF"/>
    <w:rsid w:val="00F62491"/>
    <w:rsid w:val="00F64E81"/>
    <w:rsid w:val="00F6605E"/>
    <w:rsid w:val="00F713E3"/>
    <w:rsid w:val="00F75639"/>
    <w:rsid w:val="00F767E7"/>
    <w:rsid w:val="00F805B4"/>
    <w:rsid w:val="00F8567E"/>
    <w:rsid w:val="00F87446"/>
    <w:rsid w:val="00F9063E"/>
    <w:rsid w:val="00F90A39"/>
    <w:rsid w:val="00F9305C"/>
    <w:rsid w:val="00F93BFA"/>
    <w:rsid w:val="00F96CD0"/>
    <w:rsid w:val="00FA3EFE"/>
    <w:rsid w:val="00FB1340"/>
    <w:rsid w:val="00FC1833"/>
    <w:rsid w:val="00FC1A01"/>
    <w:rsid w:val="00FC5858"/>
    <w:rsid w:val="00FD246A"/>
    <w:rsid w:val="00FD3C1E"/>
    <w:rsid w:val="00FD6057"/>
    <w:rsid w:val="00FE4B62"/>
    <w:rsid w:val="00FE5515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30A6856-8604-4016-AF7D-2911F50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rsid w:val="00A45891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1">
    <w:name w:val="Emphasis"/>
    <w:uiPriority w:val="20"/>
    <w:qFormat/>
    <w:rsid w:val="00A54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2019-09-30T05:37:00Z</cp:lastPrinted>
  <dcterms:created xsi:type="dcterms:W3CDTF">2019-10-08T11:44:00Z</dcterms:created>
  <dcterms:modified xsi:type="dcterms:W3CDTF">2019-10-08T11:44:00Z</dcterms:modified>
</cp:coreProperties>
</file>