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EC" w:rsidRDefault="00F80AEC">
      <w:pPr>
        <w:pStyle w:val="1"/>
      </w:pPr>
      <w:hyperlink r:id="rId5" w:history="1">
        <w:r>
          <w:rPr>
            <w:rStyle w:val="a4"/>
            <w:b/>
            <w:bCs w:val="0"/>
          </w:rPr>
          <w:t>Протокол</w:t>
        </w:r>
        <w:r>
          <w:rPr>
            <w:rStyle w:val="a4"/>
            <w:b/>
            <w:bCs w:val="0"/>
          </w:rPr>
          <w:br/>
          <w:t>между Правительством Российской Федерации и Правительством Республики Казахстан о порядке деятельности предприятий и организаций, воинских частей, других юридических лиц на территории комплекса "Байконур" в части, касающейся вопросов охраны окружающей среды</w:t>
        </w:r>
        <w:r>
          <w:rPr>
            <w:rStyle w:val="a4"/>
            <w:b/>
            <w:bCs w:val="0"/>
          </w:rPr>
          <w:br/>
          <w:t>(Москва, 23 декабря 2014 г.)</w:t>
        </w:r>
      </w:hyperlink>
    </w:p>
    <w:p w:rsidR="00F80AEC" w:rsidRDefault="00F80AEC"/>
    <w:p w:rsidR="00F80AEC" w:rsidRDefault="00F80AEC">
      <w:bookmarkStart w:id="0" w:name="sub_111"/>
      <w:r>
        <w:t>Правительство Российской Федерации и Правительство Республики Казахстан, далее именуемые Сторонами,</w:t>
      </w:r>
    </w:p>
    <w:bookmarkEnd w:id="0"/>
    <w:p w:rsidR="00F80AEC" w:rsidRDefault="00F80AEC">
      <w:r>
        <w:t xml:space="preserve">принимая во внимание </w:t>
      </w:r>
      <w:hyperlink r:id="rId6" w:history="1">
        <w:r>
          <w:rPr>
            <w:rStyle w:val="a4"/>
          </w:rPr>
          <w:t>статью 2</w:t>
        </w:r>
      </w:hyperlink>
      <w:r>
        <w:t xml:space="preserve"> Соглашения между Правительством Российской Федерации и Правительством Республики Казахстан по экологии и природопользованию на территории комплекса "Байконур" в условиях его аренды Российской Федерацией от 2 июня 2005 года (далее - Соглашение),</w:t>
      </w:r>
    </w:p>
    <w:p w:rsidR="00F80AEC" w:rsidRDefault="00F80AEC">
      <w:r>
        <w:t xml:space="preserve">основываясь на положениях </w:t>
      </w:r>
      <w:hyperlink r:id="rId7" w:history="1">
        <w:r>
          <w:rPr>
            <w:rStyle w:val="a4"/>
          </w:rPr>
          <w:t>Договора</w:t>
        </w:r>
      </w:hyperlink>
      <w:r>
        <w:t xml:space="preserve"> аренды комплекса "Байконур" между Правительством Российской Федерации и Правительством Республики Казахстан от 10 декабря 1994 года (далее - Договор аренды),</w:t>
      </w:r>
    </w:p>
    <w:p w:rsidR="00F80AEC" w:rsidRDefault="00F80AEC">
      <w:r>
        <w:t>согласились о нижеследующем:</w:t>
      </w:r>
    </w:p>
    <w:p w:rsidR="00F80AEC" w:rsidRDefault="00F80AEC"/>
    <w:p w:rsidR="00F80AEC" w:rsidRDefault="00F80AEC">
      <w:pPr>
        <w:pStyle w:val="1"/>
      </w:pPr>
      <w:bookmarkStart w:id="1" w:name="sub_1"/>
      <w:r>
        <w:t>Статья 1</w:t>
      </w:r>
      <w:r>
        <w:br/>
        <w:t>Общие положения</w:t>
      </w:r>
    </w:p>
    <w:bookmarkEnd w:id="1"/>
    <w:p w:rsidR="00F80AEC" w:rsidRDefault="00F80AEC"/>
    <w:p w:rsidR="00F80AEC" w:rsidRDefault="00F80AEC">
      <w:pPr>
        <w:pStyle w:val="a7"/>
        <w:pBdr>
          <w:top w:val="single" w:sz="4" w:space="0" w:color="auto"/>
        </w:pBdr>
      </w:pPr>
      <w:r>
        <w:t>Мой комментарий</w:t>
      </w:r>
    </w:p>
    <w:p w:rsidR="00F80AEC" w:rsidRDefault="00F80AEC">
      <w:pPr>
        <w:pStyle w:val="a7"/>
      </w:pPr>
      <w:r>
        <w:t>Протокол между Правительством Российской Федерации и Правительством Республики Казахстан о порядке деятельности предприятий и организаций, воинских частей, других юридических лиц на территории комплекса "Байконур" в части, касающейся вопросов охраны окружающей среды (Москва, 23 декабря 2014 г.)</w:t>
      </w:r>
    </w:p>
    <w:p w:rsidR="00F80AEC" w:rsidRDefault="00F80AEC">
      <w:pPr>
        <w:pStyle w:val="a7"/>
      </w:pPr>
    </w:p>
    <w:p w:rsidR="00F80AEC" w:rsidRDefault="00F80AEC">
      <w:pPr>
        <w:pStyle w:val="a7"/>
      </w:pPr>
      <w:r>
        <w:t>Протокол вступил в силу 27 февраля 2016 г.</w:t>
      </w:r>
    </w:p>
    <w:p w:rsidR="00F80AEC" w:rsidRDefault="00F80AEC">
      <w:pPr>
        <w:pStyle w:val="a7"/>
      </w:pPr>
    </w:p>
    <w:p w:rsidR="00F80AEC" w:rsidRDefault="00F80AEC">
      <w:pPr>
        <w:pStyle w:val="a7"/>
        <w:pBdr>
          <w:bottom w:val="single" w:sz="4" w:space="0" w:color="auto"/>
        </w:pBdr>
      </w:pPr>
    </w:p>
    <w:p w:rsidR="00F80AEC" w:rsidRDefault="00F80AEC"/>
    <w:p w:rsidR="00F80AEC" w:rsidRDefault="00F80AEC">
      <w:r>
        <w:t>Хозяйственная и иная деятельность предприятий и организаций, воинских частей, других юридических лиц (независимо от ведомственной принадлежности), связанная с использованием природных ресурсов и воздействием на окружающую среду на территории комплекса "Байконур", осуществляется в соответствии с нормами Экологического кодекса Республики Казахстан (далее - Кодекс) и другими нормативными правовыми актами Республики Казахстан, регламентирующими деятельность в области охраны окружающей среды и действующими на момент заключения настоящего Протокола, с учетом настоящего Протокола и других двусторонних соглашений по комплексу "Байконур", за исключением случаев, когда действия предприятий и организаций, воинских частей, других юридических лиц (независимо от ведомственной принадлежности) на комплексе "Байконур" повлекли наступление чрезвычайной экологической ситуации или экологического бедствия. В отношении данных действий применяется экологическое законодательство Республики Казахстан, действующее на момент их выявления.</w:t>
      </w:r>
    </w:p>
    <w:p w:rsidR="00F80AEC" w:rsidRDefault="00F80AEC"/>
    <w:p w:rsidR="00F80AEC" w:rsidRDefault="00F80AEC">
      <w:pPr>
        <w:pStyle w:val="1"/>
      </w:pPr>
      <w:bookmarkStart w:id="2" w:name="sub_2"/>
      <w:r>
        <w:lastRenderedPageBreak/>
        <w:t>Статья 2</w:t>
      </w:r>
      <w:r>
        <w:br/>
        <w:t>Уполномоченные органы Сторон</w:t>
      </w:r>
    </w:p>
    <w:bookmarkEnd w:id="2"/>
    <w:p w:rsidR="00F80AEC" w:rsidRDefault="00F80AEC"/>
    <w:p w:rsidR="00F80AEC" w:rsidRDefault="00F80AEC">
      <w:r>
        <w:t>Для целей настоящего Протокола уполномоченными органами Сторон являются:</w:t>
      </w:r>
    </w:p>
    <w:p w:rsidR="00F80AEC" w:rsidRDefault="00F80AEC">
      <w:r>
        <w:t>от Российской Стороны - Федеральное космическое агентство и администрация города Байконура;</w:t>
      </w:r>
    </w:p>
    <w:p w:rsidR="00F80AEC" w:rsidRDefault="00F80AEC">
      <w:r>
        <w:t>от Казахстанской Стороны - Министерство энергетики Республики Казахстан.</w:t>
      </w:r>
    </w:p>
    <w:p w:rsidR="00F80AEC" w:rsidRDefault="00F80AEC"/>
    <w:p w:rsidR="00F80AEC" w:rsidRDefault="00F80AEC">
      <w:pPr>
        <w:pStyle w:val="1"/>
      </w:pPr>
      <w:bookmarkStart w:id="3" w:name="sub_3"/>
      <w:r>
        <w:t>Статья 3</w:t>
      </w:r>
      <w:r>
        <w:br/>
        <w:t>Государственная экологическая экспертиза</w:t>
      </w:r>
    </w:p>
    <w:bookmarkEnd w:id="3"/>
    <w:p w:rsidR="00F80AEC" w:rsidRDefault="00F80AEC"/>
    <w:p w:rsidR="00F80AEC" w:rsidRDefault="00F80AEC">
      <w:r>
        <w:t>Уполномоченные органы Сторон утверждают Порядок взаимодействия уполномоченных государственных органов Российской Федерации и Республики Казахстан при проведении государственной экологической экспертизы российской ракетно-космической техники, планируемой к использованию на космодроме "Байконур".</w:t>
      </w:r>
    </w:p>
    <w:p w:rsidR="00F80AEC" w:rsidRDefault="00F80AEC">
      <w:r>
        <w:t>Объектами государственной экологической экспертизы Российской Федерации являются проектные материалы на перспективные образцы ракет и ракет-носителей, планируемых Российской Стороной к использованию на космодроме "Байконур".</w:t>
      </w:r>
    </w:p>
    <w:p w:rsidR="00F80AEC" w:rsidRDefault="00F80AEC">
      <w:r>
        <w:t xml:space="preserve">Объектами государственной экологической экспертизы Республики Казахстан являются материалы оценки воздействия на окружающую среду районов падения отделяющихся частей ракет-носителей, запускаемых с космодрома "Байконур", не включенных в </w:t>
      </w:r>
      <w:hyperlink r:id="rId8" w:history="1">
        <w:r>
          <w:rPr>
            <w:rStyle w:val="a4"/>
          </w:rPr>
          <w:t>приложение 2</w:t>
        </w:r>
      </w:hyperlink>
      <w:r>
        <w:t xml:space="preserve"> к Договору аренды, проекты планируемой хозяйственной деятельности объектов комплекса "Байконур" с сопровождающими их материалами оценки воздействия на окружающую среду, а также проекты строительства, реконструкции, развития, технического перевооружения, перепрофилирования и ликвидации, сопровождаемые материалами оценки воздействия на окружающую среду, проекты нормативов эмиссий (выбросов, сбросов, размещения отходов) загрязняющих веществ в окружающую среду для существующих объектов комплекса "Байконур".</w:t>
      </w:r>
    </w:p>
    <w:p w:rsidR="00F80AEC" w:rsidRDefault="00F80AEC">
      <w:r>
        <w:t>Положительные заключения государственной экологической экспертизы Республики Казахстан в отношении объектов комплекса "Байконур" действуют до изменения применяемых технологий и условий природопользования.</w:t>
      </w:r>
    </w:p>
    <w:p w:rsidR="00F80AEC" w:rsidRDefault="00F80AEC"/>
    <w:p w:rsidR="00F80AEC" w:rsidRDefault="00F80AEC">
      <w:pPr>
        <w:pStyle w:val="1"/>
      </w:pPr>
      <w:bookmarkStart w:id="4" w:name="sub_4"/>
      <w:r>
        <w:t>Статья 4</w:t>
      </w:r>
      <w:r>
        <w:br/>
        <w:t>Природопользование</w:t>
      </w:r>
    </w:p>
    <w:bookmarkEnd w:id="4"/>
    <w:p w:rsidR="00F80AEC" w:rsidRDefault="00F80AEC"/>
    <w:p w:rsidR="00F80AEC" w:rsidRDefault="00F80AEC">
      <w:r>
        <w:t>Для объектов космодрома "Байконур" разрабатывается единый план природоохранных мероприятий по форме, согласованной с уполномоченными органами Сторон, который является обязательным для исполнения.</w:t>
      </w:r>
    </w:p>
    <w:p w:rsidR="00F80AEC" w:rsidRDefault="00F80AEC"/>
    <w:p w:rsidR="00F80AEC" w:rsidRDefault="00F80AEC">
      <w:pPr>
        <w:pStyle w:val="1"/>
      </w:pPr>
      <w:bookmarkStart w:id="5" w:name="sub_5"/>
      <w:r>
        <w:t>Статья 5</w:t>
      </w:r>
      <w:r>
        <w:br/>
        <w:t>Плата за эмиссии (выбросы, сбросы, размещение отходов) в окружающую среду</w:t>
      </w:r>
    </w:p>
    <w:bookmarkEnd w:id="5"/>
    <w:p w:rsidR="00F80AEC" w:rsidRDefault="00F80AEC"/>
    <w:p w:rsidR="00F80AEC" w:rsidRDefault="00F80AEC">
      <w:r>
        <w:t xml:space="preserve">Плата за эмиссии (выбросы, сбросы, размещение отходов) в окружающую среду, источниками которых являются арендованные объекты космодрома "Байконур", в пределах согласованных уполномоченным органом Республики Казахстан нормативов эмиссии (выбросов, сбросов, размещения отходов) в окружающую среду, действующих </w:t>
      </w:r>
      <w:r>
        <w:lastRenderedPageBreak/>
        <w:t>в отношении объектов комплекса "Байконур", не взимается.</w:t>
      </w:r>
    </w:p>
    <w:p w:rsidR="00F80AEC" w:rsidRDefault="00F80AEC">
      <w:r>
        <w:t>Плата за эмиссии (выбросы, сбросы, размещение отходов) в окружающую среду, источниками которых являются объекты космодрома "Байконур", сверх согласованных нормативов эмиссий (выбросов, сбросов, размещения отходов) осуществляется предприятиями и организациями, воинскими частями, другими юридическими лицами, эксплуатирующими объекты комплекса "Байконур" (далее - природопользователи) в порядке, установленном Налоговым кодексом Республики Казахстан. Ставки платы определяются по аналогии со ставками, действующими в Кызылординской области Республики Казахстан на момент осуществления платежей. Плата за эмиссии (выбросы, сбросы, размещение отходов) в окружающую среду, источниками которых являются объекты космодрома "Байконур", сверх согласованных нормативов эмиссий (выбросов, сбросов, размещения отходов) поступает в бюджет города Байконура с последующим направлением поступающих средств на финансирование программ по охране окружающей среды.</w:t>
      </w:r>
    </w:p>
    <w:p w:rsidR="00F80AEC" w:rsidRDefault="00F80AEC">
      <w:r>
        <w:t>Плата за эмиссии (выбросы, сбросы, размещение отходов) в окружающую среду, которые производятся на территории города Байконура, осуществляется в соответствии с постановлением главы администрации города Байконура в бюджет города Байконура с последующим направлением поступающих средств на финансирование программ по охране окружающей среды.</w:t>
      </w:r>
    </w:p>
    <w:p w:rsidR="00F80AEC" w:rsidRDefault="00F80AEC">
      <w:r>
        <w:t xml:space="preserve">Плата за эмиссии (выбросы, сбросы, размещение отходов) в окружающую среду, источниками которых являются казахстанские предприятия и организации, не зарегистрированные в администрации города Байконура в соответствии с </w:t>
      </w:r>
      <w:hyperlink r:id="rId9" w:history="1">
        <w:r>
          <w:rPr>
            <w:rStyle w:val="a4"/>
          </w:rPr>
          <w:t>Соглашением</w:t>
        </w:r>
      </w:hyperlink>
      <w: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года и действующие на территории космодрома "Байконур", осуществляется в порядке, установленном законодательством Республики Казахстан. Ставки платы определяются по аналогии со ставками, действующими в Кызылординской области Республики Казахстан на момент осуществления платежей. Плата за эмиссии (выбросы, сбросы, размещение отходов) поступает в бюджет Кызылординской области Республики Казахстан.</w:t>
      </w:r>
    </w:p>
    <w:p w:rsidR="00F80AEC" w:rsidRDefault="00F80AEC">
      <w:r>
        <w:t>Согласованными нормативами эмиссий (выбросов) в атмосферу при пусках ракет и ракет-носителей являются объемы и состав загрязняющих веществ, указанные в материалах оценки воздействия на окружающую среду, в отношении которых имеется положительное заключение государственной экологической экспертизы Российской Федерации. Указанные нормативы действуют до окончания аренды Российской Стороной комплекса "Байконур".</w:t>
      </w:r>
    </w:p>
    <w:p w:rsidR="00F80AEC" w:rsidRDefault="00F80AEC">
      <w:r>
        <w:t>Нормативы допустимого воздействия на озоновый слой при пусках ракет и ракет-носителей с космодрома "Байконур" не применяются.</w:t>
      </w:r>
    </w:p>
    <w:p w:rsidR="00F80AEC" w:rsidRDefault="00F80AEC"/>
    <w:p w:rsidR="00F80AEC" w:rsidRDefault="00F80AEC">
      <w:pPr>
        <w:pStyle w:val="1"/>
      </w:pPr>
      <w:bookmarkStart w:id="6" w:name="sub_6"/>
      <w:r>
        <w:t>Статья 6</w:t>
      </w:r>
      <w:r>
        <w:br/>
        <w:t>Экологический мониторинг</w:t>
      </w:r>
    </w:p>
    <w:bookmarkEnd w:id="6"/>
    <w:p w:rsidR="00F80AEC" w:rsidRDefault="00F80AEC"/>
    <w:p w:rsidR="00F80AEC" w:rsidRDefault="00F80AEC">
      <w:r>
        <w:t>Экологический мониторинг осуществляется на территории комплекса "Байконур" в виде государственного и производственного экологического мониторинга.</w:t>
      </w:r>
    </w:p>
    <w:p w:rsidR="00F80AEC" w:rsidRDefault="00F80AEC">
      <w:r>
        <w:t>Государственный экологический мониторинг (мониторинг окружающей среды и природных ресурсов) осуществляется на территории комплекса "Байконур" специально уполномоченными государственными органами Республики Казахстан в соответствии с Кодексом.</w:t>
      </w:r>
    </w:p>
    <w:p w:rsidR="00F80AEC" w:rsidRDefault="00F80AEC">
      <w:r>
        <w:t xml:space="preserve">Допуск лиц, осуществляющих государственный экологический мониторинг, на </w:t>
      </w:r>
      <w:r>
        <w:lastRenderedPageBreak/>
        <w:t xml:space="preserve">объекты комплекса "Байконур" производится в порядке, установленном </w:t>
      </w:r>
      <w:hyperlink r:id="rId10" w:history="1">
        <w:r>
          <w:rPr>
            <w:rStyle w:val="a4"/>
          </w:rPr>
          <w:t>Соглашением</w:t>
        </w:r>
      </w:hyperlink>
      <w:r>
        <w:t xml:space="preserve"> между Правительством Российской Федерации и Правительством Республики Казахстан о порядке посещения объектов комплекса "Байконур" от 21 мая 2009 года.</w:t>
      </w:r>
    </w:p>
    <w:p w:rsidR="00F80AEC" w:rsidRDefault="00F80AEC">
      <w:r>
        <w:t>Производственный экологический мониторинг является элементом производственного экологического контроля и осуществляется природопользователями для получения объективных данных с установленной периодичностью.</w:t>
      </w:r>
    </w:p>
    <w:p w:rsidR="00F80AEC" w:rsidRDefault="00F80AEC">
      <w:r>
        <w:t>При осуществлении экологического мониторинга могут использоваться только методики анализов объектов окружающей среды на наличие загрязнений, аттестованные в соответствии с законодательствами государств Сторон.</w:t>
      </w:r>
    </w:p>
    <w:p w:rsidR="00F80AEC" w:rsidRDefault="00F80AEC"/>
    <w:p w:rsidR="00F80AEC" w:rsidRDefault="00F80AEC">
      <w:pPr>
        <w:pStyle w:val="1"/>
      </w:pPr>
      <w:bookmarkStart w:id="7" w:name="sub_7"/>
      <w:r>
        <w:t>Статья 7</w:t>
      </w:r>
      <w:r>
        <w:br/>
        <w:t>Экологическая паспортизация</w:t>
      </w:r>
    </w:p>
    <w:bookmarkEnd w:id="7"/>
    <w:p w:rsidR="00F80AEC" w:rsidRDefault="00F80AEC"/>
    <w:p w:rsidR="00F80AEC" w:rsidRDefault="00F80AEC">
      <w:r>
        <w:t>Российская Сторона обеспечивает экологическую паспортизацию космодрома "Байконур".</w:t>
      </w:r>
    </w:p>
    <w:p w:rsidR="00F80AEC" w:rsidRDefault="00F80AEC">
      <w:r>
        <w:t>Порядок проведения экологической паспортизации, формы экологических паспортов, а также формы статистической отчетности в отношении объектов космодрома "Байконур" устанавливаются уполномоченными органами Сторон.</w:t>
      </w:r>
    </w:p>
    <w:p w:rsidR="00F80AEC" w:rsidRDefault="00F80AEC"/>
    <w:p w:rsidR="00F80AEC" w:rsidRDefault="00F80AEC">
      <w:pPr>
        <w:pStyle w:val="1"/>
      </w:pPr>
      <w:bookmarkStart w:id="8" w:name="sub_8"/>
      <w:r>
        <w:t>Статья 8</w:t>
      </w:r>
      <w:r>
        <w:br/>
        <w:t>Экологический контроль</w:t>
      </w:r>
    </w:p>
    <w:bookmarkEnd w:id="8"/>
    <w:p w:rsidR="00F80AEC" w:rsidRDefault="00F80AEC"/>
    <w:p w:rsidR="00F80AEC" w:rsidRDefault="00F80AEC">
      <w:r>
        <w:t>Экологический контроль на территории комплекса "Байконур" осуществляется в виде государственного и производственного экологического контроля.</w:t>
      </w:r>
    </w:p>
    <w:p w:rsidR="00F80AEC" w:rsidRDefault="00F80AEC">
      <w:r>
        <w:t xml:space="preserve">Государственный экологический контроль на территории комплекса "Байконур" осуществляется в соответствии с Кодексом с учетом </w:t>
      </w:r>
      <w:hyperlink r:id="rId11" w:history="1">
        <w:r>
          <w:rPr>
            <w:rStyle w:val="a4"/>
          </w:rPr>
          <w:t>Соглашения</w:t>
        </w:r>
      </w:hyperlink>
      <w:r>
        <w:t>.</w:t>
      </w:r>
    </w:p>
    <w:p w:rsidR="00F80AEC" w:rsidRDefault="00F80AEC">
      <w:r>
        <w:t>Производственный экологический контроль проводится природопользователями на основе программы производственного экологического контроля, разрабатываемой природопользователями и согласованной с уполномоченными органами Казахстанской Стороны.</w:t>
      </w:r>
    </w:p>
    <w:p w:rsidR="00F80AEC" w:rsidRDefault="00F80AEC"/>
    <w:p w:rsidR="00F80AEC" w:rsidRDefault="00F80AEC">
      <w:pPr>
        <w:pStyle w:val="1"/>
      </w:pPr>
      <w:bookmarkStart w:id="9" w:name="sub_9"/>
      <w:r>
        <w:t>Статья 9</w:t>
      </w:r>
      <w:r>
        <w:br/>
        <w:t>Экологический аудит</w:t>
      </w:r>
    </w:p>
    <w:bookmarkEnd w:id="9"/>
    <w:p w:rsidR="00F80AEC" w:rsidRDefault="00F80AEC"/>
    <w:p w:rsidR="00F80AEC" w:rsidRDefault="00F80AEC">
      <w:r>
        <w:t>Обязательный экологический аудит на территории комплекса "Байконур" не применяется. Инициативный экологический аудит проводится в порядке, установленном Кодексом.</w:t>
      </w:r>
    </w:p>
    <w:p w:rsidR="00F80AEC" w:rsidRDefault="00F80AEC"/>
    <w:p w:rsidR="00F80AEC" w:rsidRDefault="00F80AEC">
      <w:pPr>
        <w:pStyle w:val="1"/>
      </w:pPr>
      <w:bookmarkStart w:id="10" w:name="sub_10"/>
      <w:r>
        <w:t>Статья 10</w:t>
      </w:r>
      <w:r>
        <w:br/>
        <w:t>Экологическая информация</w:t>
      </w:r>
    </w:p>
    <w:bookmarkEnd w:id="10"/>
    <w:p w:rsidR="00F80AEC" w:rsidRDefault="00F80AEC"/>
    <w:p w:rsidR="00F80AEC" w:rsidRDefault="00F80AEC">
      <w:r>
        <w:t>Для целей настоящей статьи под экологической информацией понимается информация, полученная при осуществлении экологического мониторинга на территории комплекса "Байконур" или полученная в результате реализации совместных программ экологической направленности.</w:t>
      </w:r>
    </w:p>
    <w:p w:rsidR="00F80AEC" w:rsidRDefault="00F80AEC">
      <w:r>
        <w:t xml:space="preserve">Доступ к экологической информации любых третьих лиц может осуществляться только после одобрения научно-техническим советом, созданным в соответствии со </w:t>
      </w:r>
      <w:hyperlink r:id="rId12" w:history="1">
        <w:r>
          <w:rPr>
            <w:rStyle w:val="a4"/>
          </w:rPr>
          <w:t>статьей 6</w:t>
        </w:r>
      </w:hyperlink>
      <w:r>
        <w:t xml:space="preserve"> Соглашения, материалов, содержащих указанную информацию.</w:t>
      </w:r>
    </w:p>
    <w:p w:rsidR="00F80AEC" w:rsidRDefault="00F80AEC">
      <w:r>
        <w:t>При обмене экологической информацией между органами государственной власти, предприятиями, организациями, включая уполномоченные органы и природопользователей, могут письменно оговариваться дополнительные ограничения в обращении с передаваемой информацией.</w:t>
      </w:r>
    </w:p>
    <w:p w:rsidR="00F80AEC" w:rsidRDefault="00F80AEC">
      <w:r>
        <w:t>Порядок обращения с экологической информацией, находящейся в распоряжении казахстанских органов государственной власти, предприятий и организаций, включая уполномоченные органы и природопользователей, определяется в соответствии с законодательством Республики Казахстан с учетом ограничений, оговоренных при ее получении.</w:t>
      </w:r>
    </w:p>
    <w:p w:rsidR="00F80AEC" w:rsidRDefault="00F80AEC">
      <w:r>
        <w:t>Порядок обращения с экологической информацией, находящейся в распоряжении российских органов государственной власти, предприятий и организаций, включая уполномоченные органы и природопользователей, определяется в соответствии с законодательством Российской Федерации с учетом ограничений, оговоренных при ее получении.</w:t>
      </w:r>
    </w:p>
    <w:p w:rsidR="00F80AEC" w:rsidRDefault="00F80AEC"/>
    <w:p w:rsidR="00F80AEC" w:rsidRDefault="00F80AEC">
      <w:pPr>
        <w:pStyle w:val="1"/>
      </w:pPr>
      <w:bookmarkStart w:id="11" w:name="sub_11"/>
      <w:r>
        <w:t>Статья 11</w:t>
      </w:r>
      <w:r>
        <w:br/>
        <w:t>Разрешение споров</w:t>
      </w:r>
    </w:p>
    <w:bookmarkEnd w:id="11"/>
    <w:p w:rsidR="00F80AEC" w:rsidRDefault="00F80AEC"/>
    <w:p w:rsidR="00F80AEC" w:rsidRDefault="00F80AEC">
      <w:r>
        <w:t>В случае возникновения между Сторонами споров, связанных с толкованием и (или) исполнением положений настоящего Протокола, Стороны или уполномоченные органы проводят консультации или переговоры для достижения урегулирования.</w:t>
      </w:r>
    </w:p>
    <w:p w:rsidR="00F80AEC" w:rsidRDefault="00F80AEC"/>
    <w:p w:rsidR="00F80AEC" w:rsidRDefault="00F80AEC">
      <w:pPr>
        <w:pStyle w:val="1"/>
      </w:pPr>
      <w:bookmarkStart w:id="12" w:name="sub_12"/>
      <w:r>
        <w:t>Статья 12</w:t>
      </w:r>
      <w:r>
        <w:br/>
        <w:t>Заключительные положения</w:t>
      </w:r>
    </w:p>
    <w:bookmarkEnd w:id="12"/>
    <w:p w:rsidR="00F80AEC" w:rsidRDefault="00F80AEC"/>
    <w:p w:rsidR="00F80AEC" w:rsidRDefault="00F80AEC">
      <w:bookmarkStart w:id="13" w:name="sub_121"/>
      <w:r>
        <w:t>По взаимному согласию Сторон в настоящий Протокол могут быть внесены изменения и дополнения, которые вступают в силу в порядке, установленном в отношении настоящего Протокола.</w:t>
      </w:r>
    </w:p>
    <w:p w:rsidR="00F80AEC" w:rsidRDefault="00F80AEC">
      <w:bookmarkStart w:id="14" w:name="sub_122"/>
      <w:bookmarkEnd w:id="13"/>
      <w:r>
        <w:t xml:space="preserve">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но не ранее даты </w:t>
      </w:r>
      <w:hyperlink r:id="rId13" w:history="1">
        <w:r>
          <w:rPr>
            <w:rStyle w:val="a4"/>
          </w:rPr>
          <w:t>вступления в силу</w:t>
        </w:r>
      </w:hyperlink>
      <w:r>
        <w:t xml:space="preserve"> Соглашения.</w:t>
      </w:r>
    </w:p>
    <w:bookmarkEnd w:id="14"/>
    <w:p w:rsidR="00F80AEC" w:rsidRDefault="00F80AEC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F80AEC" w:rsidRDefault="00F80AEC">
      <w:pPr>
        <w:pStyle w:val="a6"/>
      </w:pPr>
      <w:r>
        <w:t>Протокол вступил в силу 27 февраля 2016 г.</w:t>
      </w:r>
    </w:p>
    <w:p w:rsidR="00F80AEC" w:rsidRDefault="00F80AEC">
      <w:bookmarkStart w:id="15" w:name="sub_123"/>
      <w:r>
        <w:t xml:space="preserve">Настоящий Протокол действует в течение срока действия </w:t>
      </w:r>
      <w:hyperlink r:id="rId14" w:history="1">
        <w:r>
          <w:rPr>
            <w:rStyle w:val="a4"/>
          </w:rPr>
          <w:t>Соглашения</w:t>
        </w:r>
      </w:hyperlink>
      <w:r>
        <w:t>.</w:t>
      </w:r>
    </w:p>
    <w:bookmarkEnd w:id="15"/>
    <w:p w:rsidR="00F80AEC" w:rsidRDefault="00F80AEC"/>
    <w:p w:rsidR="00F80AEC" w:rsidRDefault="00F80AEC">
      <w:r>
        <w:t>Совершено в г. Москве "23" декабря 2014 года в двух экземплярах, каждый на русском и казахском языках, причем все тексты имеют одинаковую силу.</w:t>
      </w:r>
    </w:p>
    <w:p w:rsidR="00F80AEC" w:rsidRDefault="00F80AEC"/>
    <w:p w:rsidR="00F80AEC" w:rsidRDefault="00F80AEC">
      <w:pPr>
        <w:ind w:firstLine="698"/>
        <w:jc w:val="right"/>
      </w:pPr>
      <w:r>
        <w:t>За Правительство</w:t>
      </w:r>
      <w:r>
        <w:br/>
        <w:t>Российской Федерации</w:t>
      </w:r>
      <w:r>
        <w:br/>
        <w:t>/подпись/</w:t>
      </w:r>
    </w:p>
    <w:p w:rsidR="00F80AEC" w:rsidRDefault="00F80AEC"/>
    <w:p w:rsidR="00F80AEC" w:rsidRDefault="00F80AEC">
      <w:pPr>
        <w:ind w:firstLine="698"/>
        <w:jc w:val="right"/>
      </w:pPr>
      <w:r>
        <w:t>За Правительство</w:t>
      </w:r>
      <w:r>
        <w:br/>
        <w:t>Республики Казахстан</w:t>
      </w:r>
      <w:r>
        <w:br/>
        <w:t>/подпись/</w:t>
      </w:r>
    </w:p>
    <w:p w:rsidR="00F80AEC" w:rsidRDefault="00F80AEC"/>
    <w:sectPr w:rsidR="00F80AE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AEC"/>
    <w:rsid w:val="00286D91"/>
    <w:rsid w:val="004E7EDD"/>
    <w:rsid w:val="009920E9"/>
    <w:rsid w:val="00BB0A91"/>
    <w:rsid w:val="00F8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color w:val="26282F"/>
    </w:rPr>
  </w:style>
  <w:style w:type="character" w:customStyle="1" w:styleId="a4">
    <w:name w:val="Гипертекстовая ссылка"/>
    <w:basedOn w:val="a3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Комментарий пользователя"/>
    <w:basedOn w:val="a6"/>
    <w:next w:val="a"/>
    <w:pPr>
      <w:jc w:val="left"/>
    </w:pPr>
    <w:rPr>
      <w:shd w:val="clear" w:color="auto" w:fill="FFDFE0"/>
    </w:rPr>
  </w:style>
  <w:style w:type="paragraph" w:customStyle="1" w:styleId="a8">
    <w:name w:val="Нормальный (таблица)"/>
    <w:basedOn w:val="a"/>
    <w:next w:val="a"/>
    <w:pPr>
      <w:ind w:firstLine="0"/>
    </w:pPr>
  </w:style>
  <w:style w:type="paragraph" w:customStyle="1" w:styleId="a9">
    <w:name w:val="Ссылка на официальную публикацию"/>
    <w:basedOn w:val="a"/>
    <w:next w:val="a"/>
  </w:style>
  <w:style w:type="character" w:customStyle="1" w:styleId="aa">
    <w:name w:val="Цветовое выделение для Текст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53020.2000" TargetMode="External"/><Relationship Id="rId13" Type="http://schemas.openxmlformats.org/officeDocument/2006/relationships/hyperlink" Target="garantF1://2563331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53020.0" TargetMode="External"/><Relationship Id="rId12" Type="http://schemas.openxmlformats.org/officeDocument/2006/relationships/hyperlink" Target="garantF1://2463331.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2463331.2" TargetMode="External"/><Relationship Id="rId11" Type="http://schemas.openxmlformats.org/officeDocument/2006/relationships/hyperlink" Target="garantF1://2463331.0" TargetMode="External"/><Relationship Id="rId5" Type="http://schemas.openxmlformats.org/officeDocument/2006/relationships/hyperlink" Target="garantF1://70814314.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2468126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460320.0" TargetMode="External"/><Relationship Id="rId14" Type="http://schemas.openxmlformats.org/officeDocument/2006/relationships/hyperlink" Target="garantF1://246333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1355</Words>
  <Characters>11143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НПП "Гарант-Сервис"</Company>
  <LinksUpToDate>false</LinksUpToDate>
  <CharactersWithSpaces>12474</CharactersWithSpaces>
  <SharedDoc>false</SharedDoc>
  <HLinks>
    <vt:vector size="60" baseType="variant">
      <vt:variant>
        <vt:i4>6029330</vt:i4>
      </vt:variant>
      <vt:variant>
        <vt:i4>27</vt:i4>
      </vt:variant>
      <vt:variant>
        <vt:i4>0</vt:i4>
      </vt:variant>
      <vt:variant>
        <vt:i4>5</vt:i4>
      </vt:variant>
      <vt:variant>
        <vt:lpwstr>garantf1://2463331.0/</vt:lpwstr>
      </vt:variant>
      <vt:variant>
        <vt:lpwstr/>
      </vt:variant>
      <vt:variant>
        <vt:i4>6029331</vt:i4>
      </vt:variant>
      <vt:variant>
        <vt:i4>24</vt:i4>
      </vt:variant>
      <vt:variant>
        <vt:i4>0</vt:i4>
      </vt:variant>
      <vt:variant>
        <vt:i4>5</vt:i4>
      </vt:variant>
      <vt:variant>
        <vt:lpwstr>garantf1://2563331.0/</vt:lpwstr>
      </vt:variant>
      <vt:variant>
        <vt:lpwstr/>
      </vt:variant>
      <vt:variant>
        <vt:i4>5898258</vt:i4>
      </vt:variant>
      <vt:variant>
        <vt:i4>21</vt:i4>
      </vt:variant>
      <vt:variant>
        <vt:i4>0</vt:i4>
      </vt:variant>
      <vt:variant>
        <vt:i4>5</vt:i4>
      </vt:variant>
      <vt:variant>
        <vt:lpwstr>garantf1://2463331.6/</vt:lpwstr>
      </vt:variant>
      <vt:variant>
        <vt:lpwstr/>
      </vt:variant>
      <vt:variant>
        <vt:i4>6029330</vt:i4>
      </vt:variant>
      <vt:variant>
        <vt:i4>18</vt:i4>
      </vt:variant>
      <vt:variant>
        <vt:i4>0</vt:i4>
      </vt:variant>
      <vt:variant>
        <vt:i4>5</vt:i4>
      </vt:variant>
      <vt:variant>
        <vt:lpwstr>garantf1://2463331.0/</vt:lpwstr>
      </vt:variant>
      <vt:variant>
        <vt:lpwstr/>
      </vt:variant>
      <vt:variant>
        <vt:i4>5832728</vt:i4>
      </vt:variant>
      <vt:variant>
        <vt:i4>15</vt:i4>
      </vt:variant>
      <vt:variant>
        <vt:i4>0</vt:i4>
      </vt:variant>
      <vt:variant>
        <vt:i4>5</vt:i4>
      </vt:variant>
      <vt:variant>
        <vt:lpwstr>garantf1://2468126.0/</vt:lpwstr>
      </vt:variant>
      <vt:variant>
        <vt:lpwstr/>
      </vt:variant>
      <vt:variant>
        <vt:i4>6094864</vt:i4>
      </vt:variant>
      <vt:variant>
        <vt:i4>12</vt:i4>
      </vt:variant>
      <vt:variant>
        <vt:i4>0</vt:i4>
      </vt:variant>
      <vt:variant>
        <vt:i4>5</vt:i4>
      </vt:variant>
      <vt:variant>
        <vt:lpwstr>garantf1://2460320.0/</vt:lpwstr>
      </vt:variant>
      <vt:variant>
        <vt:lpwstr/>
      </vt:variant>
      <vt:variant>
        <vt:i4>4390935</vt:i4>
      </vt:variant>
      <vt:variant>
        <vt:i4>9</vt:i4>
      </vt:variant>
      <vt:variant>
        <vt:i4>0</vt:i4>
      </vt:variant>
      <vt:variant>
        <vt:i4>5</vt:i4>
      </vt:variant>
      <vt:variant>
        <vt:lpwstr>garantf1://1053020.2000/</vt:lpwstr>
      </vt:variant>
      <vt:variant>
        <vt:lpwstr/>
      </vt:variant>
      <vt:variant>
        <vt:i4>6160407</vt:i4>
      </vt:variant>
      <vt:variant>
        <vt:i4>6</vt:i4>
      </vt:variant>
      <vt:variant>
        <vt:i4>0</vt:i4>
      </vt:variant>
      <vt:variant>
        <vt:i4>5</vt:i4>
      </vt:variant>
      <vt:variant>
        <vt:lpwstr>garantf1://1053020.0/</vt:lpwstr>
      </vt:variant>
      <vt:variant>
        <vt:lpwstr/>
      </vt:variant>
      <vt:variant>
        <vt:i4>6160402</vt:i4>
      </vt:variant>
      <vt:variant>
        <vt:i4>3</vt:i4>
      </vt:variant>
      <vt:variant>
        <vt:i4>0</vt:i4>
      </vt:variant>
      <vt:variant>
        <vt:i4>5</vt:i4>
      </vt:variant>
      <vt:variant>
        <vt:lpwstr>garantf1://2463331.2/</vt:lpwstr>
      </vt:variant>
      <vt:variant>
        <vt:lpwstr/>
      </vt:variant>
      <vt:variant>
        <vt:i4>6357054</vt:i4>
      </vt:variant>
      <vt:variant>
        <vt:i4>0</vt:i4>
      </vt:variant>
      <vt:variant>
        <vt:i4>0</vt:i4>
      </vt:variant>
      <vt:variant>
        <vt:i4>5</vt:i4>
      </vt:variant>
      <vt:variant>
        <vt:lpwstr>garantf1://70814314.0/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НПП "Гарант-Сервис"</dc:creator>
  <dc:description>Документ экспортирован из системы ГАРАНТ</dc:description>
  <cp:lastModifiedBy>fom_ln</cp:lastModifiedBy>
  <cp:revision>2</cp:revision>
  <dcterms:created xsi:type="dcterms:W3CDTF">2019-03-05T09:52:00Z</dcterms:created>
  <dcterms:modified xsi:type="dcterms:W3CDTF">2019-03-05T09:52:00Z</dcterms:modified>
</cp:coreProperties>
</file>